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947" w:rsidRDefault="00197EFC" w:rsidP="00197EFC">
      <w:pPr>
        <w:spacing w:after="0"/>
        <w:jc w:val="center"/>
        <w:rPr>
          <w:rFonts w:ascii="Arial" w:hAnsi="Arial" w:cs="Arial"/>
          <w:b/>
          <w:sz w:val="20"/>
          <w:szCs w:val="20"/>
          <w:u w:val="single"/>
        </w:rPr>
      </w:pPr>
      <w:r>
        <w:rPr>
          <w:rFonts w:ascii="Arial" w:hAnsi="Arial" w:cs="Arial"/>
          <w:b/>
          <w:sz w:val="20"/>
          <w:szCs w:val="20"/>
          <w:u w:val="single"/>
        </w:rPr>
        <w:t>AP Biology Memorize or DIE List!</w:t>
      </w:r>
    </w:p>
    <w:p w:rsidR="00290338" w:rsidRDefault="00290338" w:rsidP="00A30CEB">
      <w:pPr>
        <w:spacing w:after="0"/>
        <w:rPr>
          <w:rFonts w:ascii="Arial" w:hAnsi="Arial" w:cs="Arial"/>
          <w:sz w:val="20"/>
          <w:szCs w:val="20"/>
        </w:rPr>
      </w:pPr>
    </w:p>
    <w:p w:rsidR="00A30CEB" w:rsidRDefault="00A30CEB" w:rsidP="00A30CEB">
      <w:pPr>
        <w:spacing w:after="0"/>
        <w:rPr>
          <w:rFonts w:ascii="Arial" w:hAnsi="Arial" w:cs="Arial"/>
          <w:sz w:val="20"/>
          <w:szCs w:val="20"/>
        </w:rPr>
      </w:pPr>
      <w:bookmarkStart w:id="0" w:name="_GoBack"/>
      <w:bookmarkEnd w:id="0"/>
      <w:r>
        <w:rPr>
          <w:rFonts w:ascii="Arial" w:hAnsi="Arial" w:cs="Arial"/>
          <w:sz w:val="20"/>
          <w:szCs w:val="20"/>
        </w:rPr>
        <w:t xml:space="preserve">Note: Concepts </w:t>
      </w:r>
      <w:r w:rsidRPr="00A30CEB">
        <w:rPr>
          <w:rFonts w:ascii="Arial" w:hAnsi="Arial" w:cs="Arial"/>
          <w:sz w:val="20"/>
          <w:szCs w:val="20"/>
          <w:highlight w:val="lightGray"/>
        </w:rPr>
        <w:t>highlighted in gray</w:t>
      </w:r>
      <w:r>
        <w:rPr>
          <w:rFonts w:ascii="Arial" w:hAnsi="Arial" w:cs="Arial"/>
          <w:sz w:val="20"/>
          <w:szCs w:val="20"/>
        </w:rPr>
        <w:t xml:space="preserve"> are concepts that students often forget!!!</w:t>
      </w:r>
    </w:p>
    <w:p w:rsidR="00A30CEB" w:rsidRDefault="00A30CEB" w:rsidP="00A30CEB">
      <w:pPr>
        <w:spacing w:after="0"/>
        <w:rPr>
          <w:rFonts w:ascii="Arial" w:hAnsi="Arial" w:cs="Arial"/>
          <w:sz w:val="20"/>
          <w:szCs w:val="20"/>
        </w:rPr>
      </w:pPr>
    </w:p>
    <w:tbl>
      <w:tblPr>
        <w:tblStyle w:val="TableGrid"/>
        <w:tblW w:w="0" w:type="auto"/>
        <w:tblLook w:val="04A0" w:firstRow="1" w:lastRow="0" w:firstColumn="1" w:lastColumn="0" w:noHBand="0" w:noVBand="1"/>
      </w:tblPr>
      <w:tblGrid>
        <w:gridCol w:w="1706"/>
        <w:gridCol w:w="1739"/>
        <w:gridCol w:w="6131"/>
      </w:tblGrid>
      <w:tr w:rsidR="00197EFC" w:rsidTr="004729DC">
        <w:tc>
          <w:tcPr>
            <w:tcW w:w="1706" w:type="dxa"/>
          </w:tcPr>
          <w:p w:rsidR="00197EFC" w:rsidRPr="00197EFC" w:rsidRDefault="00197EFC" w:rsidP="00197EFC">
            <w:pPr>
              <w:jc w:val="center"/>
              <w:rPr>
                <w:rFonts w:ascii="Arial" w:hAnsi="Arial" w:cs="Arial"/>
                <w:b/>
                <w:sz w:val="20"/>
                <w:szCs w:val="20"/>
              </w:rPr>
            </w:pPr>
            <w:r w:rsidRPr="00197EFC">
              <w:rPr>
                <w:rFonts w:ascii="Arial" w:hAnsi="Arial" w:cs="Arial"/>
                <w:b/>
                <w:sz w:val="20"/>
                <w:szCs w:val="20"/>
              </w:rPr>
              <w:t xml:space="preserve">Unit </w:t>
            </w:r>
          </w:p>
        </w:tc>
        <w:tc>
          <w:tcPr>
            <w:tcW w:w="1739" w:type="dxa"/>
          </w:tcPr>
          <w:p w:rsidR="00197EFC" w:rsidRPr="00197EFC" w:rsidRDefault="00197EFC" w:rsidP="00197EFC">
            <w:pPr>
              <w:jc w:val="center"/>
              <w:rPr>
                <w:rFonts w:ascii="Arial" w:hAnsi="Arial" w:cs="Arial"/>
                <w:b/>
                <w:sz w:val="20"/>
                <w:szCs w:val="20"/>
              </w:rPr>
            </w:pPr>
            <w:r w:rsidRPr="00197EFC">
              <w:rPr>
                <w:rFonts w:ascii="Arial" w:hAnsi="Arial" w:cs="Arial"/>
                <w:b/>
                <w:sz w:val="20"/>
                <w:szCs w:val="20"/>
              </w:rPr>
              <w:t>Packet #</w:t>
            </w:r>
          </w:p>
        </w:tc>
        <w:tc>
          <w:tcPr>
            <w:tcW w:w="6131" w:type="dxa"/>
          </w:tcPr>
          <w:p w:rsidR="00197EFC" w:rsidRPr="00197EFC" w:rsidRDefault="00197EFC" w:rsidP="00197EFC">
            <w:pPr>
              <w:jc w:val="center"/>
              <w:rPr>
                <w:rFonts w:ascii="Arial" w:hAnsi="Arial" w:cs="Arial"/>
                <w:b/>
                <w:sz w:val="20"/>
                <w:szCs w:val="20"/>
              </w:rPr>
            </w:pPr>
            <w:r w:rsidRPr="00197EFC">
              <w:rPr>
                <w:rFonts w:ascii="Arial" w:hAnsi="Arial" w:cs="Arial"/>
                <w:b/>
                <w:sz w:val="20"/>
                <w:szCs w:val="20"/>
              </w:rPr>
              <w:t>Content to Memorize</w:t>
            </w:r>
          </w:p>
        </w:tc>
      </w:tr>
      <w:tr w:rsidR="00362BF5" w:rsidTr="004729DC">
        <w:tc>
          <w:tcPr>
            <w:tcW w:w="1706" w:type="dxa"/>
            <w:vMerge w:val="restart"/>
          </w:tcPr>
          <w:p w:rsidR="00362BF5" w:rsidRDefault="00C24066" w:rsidP="00197EFC">
            <w:pPr>
              <w:rPr>
                <w:rFonts w:ascii="Arial" w:hAnsi="Arial" w:cs="Arial"/>
                <w:sz w:val="20"/>
                <w:szCs w:val="20"/>
              </w:rPr>
            </w:pPr>
            <w:r>
              <w:rPr>
                <w:rFonts w:ascii="Arial" w:hAnsi="Arial" w:cs="Arial"/>
                <w:sz w:val="20"/>
                <w:szCs w:val="20"/>
              </w:rPr>
              <w:t xml:space="preserve">1 </w:t>
            </w:r>
            <w:r w:rsidR="00362BF5">
              <w:rPr>
                <w:rFonts w:ascii="Arial" w:hAnsi="Arial" w:cs="Arial"/>
                <w:sz w:val="20"/>
                <w:szCs w:val="20"/>
              </w:rPr>
              <w:t>(Microevolution)</w:t>
            </w:r>
          </w:p>
        </w:tc>
        <w:tc>
          <w:tcPr>
            <w:tcW w:w="1739" w:type="dxa"/>
          </w:tcPr>
          <w:p w:rsidR="00362BF5" w:rsidRDefault="00362BF5" w:rsidP="00197EFC">
            <w:pPr>
              <w:rPr>
                <w:rFonts w:ascii="Arial" w:hAnsi="Arial" w:cs="Arial"/>
                <w:sz w:val="20"/>
                <w:szCs w:val="20"/>
              </w:rPr>
            </w:pPr>
            <w:r>
              <w:rPr>
                <w:rFonts w:ascii="Arial" w:hAnsi="Arial" w:cs="Arial"/>
                <w:sz w:val="20"/>
                <w:szCs w:val="20"/>
              </w:rPr>
              <w:t>1 (Evolution Basics)</w:t>
            </w:r>
          </w:p>
        </w:tc>
        <w:tc>
          <w:tcPr>
            <w:tcW w:w="6131" w:type="dxa"/>
          </w:tcPr>
          <w:p w:rsidR="00362BF5" w:rsidRDefault="00362BF5" w:rsidP="00A77BDB">
            <w:pPr>
              <w:rPr>
                <w:rFonts w:ascii="Arial" w:hAnsi="Arial" w:cs="Arial"/>
                <w:sz w:val="20"/>
                <w:szCs w:val="20"/>
              </w:rPr>
            </w:pPr>
            <w:r>
              <w:rPr>
                <w:rFonts w:ascii="Arial" w:hAnsi="Arial" w:cs="Arial"/>
                <w:sz w:val="20"/>
                <w:szCs w:val="20"/>
              </w:rPr>
              <w:t>-</w:t>
            </w:r>
            <w:r w:rsidRPr="00362BF5">
              <w:rPr>
                <w:rFonts w:ascii="Arial" w:hAnsi="Arial" w:cs="Arial"/>
                <w:sz w:val="20"/>
                <w:szCs w:val="20"/>
              </w:rPr>
              <w:t>Definitions of</w:t>
            </w:r>
            <w:r w:rsidR="00BD7C6E">
              <w:rPr>
                <w:rFonts w:ascii="Arial" w:hAnsi="Arial" w:cs="Arial"/>
                <w:sz w:val="20"/>
                <w:szCs w:val="20"/>
              </w:rPr>
              <w:t xml:space="preserve"> </w:t>
            </w:r>
            <w:r w:rsidR="00A77BDB">
              <w:rPr>
                <w:rFonts w:ascii="Arial" w:hAnsi="Arial" w:cs="Arial"/>
                <w:sz w:val="20"/>
                <w:szCs w:val="20"/>
              </w:rPr>
              <w:t>evolution, natural selection, and fitness</w:t>
            </w:r>
          </w:p>
          <w:p w:rsidR="00212D81" w:rsidRDefault="00212D81" w:rsidP="00A77BDB">
            <w:pPr>
              <w:rPr>
                <w:rFonts w:ascii="Arial" w:hAnsi="Arial" w:cs="Arial"/>
                <w:sz w:val="20"/>
                <w:szCs w:val="20"/>
              </w:rPr>
            </w:pPr>
            <w:r>
              <w:rPr>
                <w:rFonts w:ascii="Arial" w:hAnsi="Arial" w:cs="Arial"/>
                <w:sz w:val="20"/>
                <w:szCs w:val="20"/>
              </w:rPr>
              <w:t>-The different piece s of evidence for evolution</w:t>
            </w:r>
          </w:p>
        </w:tc>
      </w:tr>
      <w:tr w:rsidR="00362BF5" w:rsidTr="004729DC">
        <w:tc>
          <w:tcPr>
            <w:tcW w:w="1706" w:type="dxa"/>
            <w:vMerge/>
          </w:tcPr>
          <w:p w:rsidR="00362BF5" w:rsidRDefault="00362BF5" w:rsidP="00197EFC">
            <w:pPr>
              <w:rPr>
                <w:rFonts w:ascii="Arial" w:hAnsi="Arial" w:cs="Arial"/>
                <w:sz w:val="20"/>
                <w:szCs w:val="20"/>
              </w:rPr>
            </w:pPr>
          </w:p>
        </w:tc>
        <w:tc>
          <w:tcPr>
            <w:tcW w:w="1739" w:type="dxa"/>
          </w:tcPr>
          <w:p w:rsidR="00362BF5" w:rsidRDefault="00362BF5" w:rsidP="00197EFC">
            <w:pPr>
              <w:rPr>
                <w:rFonts w:ascii="Arial" w:hAnsi="Arial" w:cs="Arial"/>
                <w:sz w:val="20"/>
                <w:szCs w:val="20"/>
              </w:rPr>
            </w:pPr>
            <w:r>
              <w:rPr>
                <w:rFonts w:ascii="Arial" w:hAnsi="Arial" w:cs="Arial"/>
                <w:sz w:val="20"/>
                <w:szCs w:val="20"/>
              </w:rPr>
              <w:t>3 (The Importance of Genetic Variation as Fuel for Natural Selection)</w:t>
            </w:r>
          </w:p>
        </w:tc>
        <w:tc>
          <w:tcPr>
            <w:tcW w:w="6131" w:type="dxa"/>
          </w:tcPr>
          <w:p w:rsidR="00362BF5" w:rsidRDefault="00362BF5" w:rsidP="00197EFC">
            <w:pPr>
              <w:rPr>
                <w:rFonts w:ascii="Arial" w:hAnsi="Arial" w:cs="Arial"/>
                <w:sz w:val="20"/>
                <w:szCs w:val="20"/>
              </w:rPr>
            </w:pPr>
            <w:r>
              <w:rPr>
                <w:rFonts w:ascii="Arial" w:hAnsi="Arial" w:cs="Arial"/>
                <w:sz w:val="20"/>
                <w:szCs w:val="20"/>
              </w:rPr>
              <w:t xml:space="preserve">-4 mechanisms that can increase genetic variation: crossing over, independent assortment, random fertilization AND mutation (the only way to create new gene sequences) </w:t>
            </w:r>
          </w:p>
        </w:tc>
      </w:tr>
      <w:tr w:rsidR="00362BF5" w:rsidTr="004729DC">
        <w:tc>
          <w:tcPr>
            <w:tcW w:w="1706" w:type="dxa"/>
            <w:vMerge/>
          </w:tcPr>
          <w:p w:rsidR="00362BF5" w:rsidRDefault="00362BF5" w:rsidP="00197EFC">
            <w:pPr>
              <w:rPr>
                <w:rFonts w:ascii="Arial" w:hAnsi="Arial" w:cs="Arial"/>
                <w:sz w:val="20"/>
                <w:szCs w:val="20"/>
              </w:rPr>
            </w:pPr>
          </w:p>
        </w:tc>
        <w:tc>
          <w:tcPr>
            <w:tcW w:w="1739" w:type="dxa"/>
          </w:tcPr>
          <w:p w:rsidR="00362BF5" w:rsidRDefault="00362BF5" w:rsidP="00197EFC">
            <w:pPr>
              <w:rPr>
                <w:rFonts w:ascii="Arial" w:hAnsi="Arial" w:cs="Arial"/>
                <w:sz w:val="20"/>
                <w:szCs w:val="20"/>
              </w:rPr>
            </w:pPr>
            <w:r>
              <w:rPr>
                <w:rFonts w:ascii="Arial" w:hAnsi="Arial" w:cs="Arial"/>
                <w:sz w:val="20"/>
                <w:szCs w:val="20"/>
              </w:rPr>
              <w:t>4 (Hardy Weinberg Equilibrium)</w:t>
            </w:r>
          </w:p>
        </w:tc>
        <w:tc>
          <w:tcPr>
            <w:tcW w:w="6131" w:type="dxa"/>
          </w:tcPr>
          <w:p w:rsidR="00362BF5" w:rsidRDefault="00362BF5" w:rsidP="00362BF5">
            <w:pPr>
              <w:rPr>
                <w:rFonts w:ascii="Arial" w:hAnsi="Arial" w:cs="Arial"/>
                <w:sz w:val="20"/>
              </w:rPr>
            </w:pPr>
            <w:r>
              <w:rPr>
                <w:rFonts w:ascii="Arial" w:hAnsi="Arial" w:cs="Arial"/>
                <w:sz w:val="20"/>
                <w:szCs w:val="20"/>
              </w:rPr>
              <w:t xml:space="preserve">-The new definition of evolution </w:t>
            </w:r>
            <w:r>
              <w:rPr>
                <w:rFonts w:ascii="Arial" w:eastAsia="Calibri" w:hAnsi="Arial" w:cs="Arial"/>
                <w:sz w:val="20"/>
              </w:rPr>
              <w:t xml:space="preserve">as a change in the frequencies of alleles (Ex: </w:t>
            </w:r>
            <w:proofErr w:type="gramStart"/>
            <w:r>
              <w:rPr>
                <w:rFonts w:ascii="Arial" w:eastAsia="Calibri" w:hAnsi="Arial" w:cs="Arial"/>
                <w:sz w:val="20"/>
              </w:rPr>
              <w:t>A and</w:t>
            </w:r>
            <w:proofErr w:type="gramEnd"/>
            <w:r>
              <w:rPr>
                <w:rFonts w:ascii="Arial" w:eastAsia="Calibri" w:hAnsi="Arial" w:cs="Arial"/>
                <w:sz w:val="20"/>
              </w:rPr>
              <w:t xml:space="preserve"> a) in a population across generations.</w:t>
            </w:r>
          </w:p>
          <w:p w:rsidR="00362BF5" w:rsidRDefault="00362BF5" w:rsidP="00362BF5">
            <w:pPr>
              <w:rPr>
                <w:rFonts w:ascii="Arial" w:hAnsi="Arial" w:cs="Arial"/>
                <w:sz w:val="20"/>
              </w:rPr>
            </w:pPr>
            <w:r>
              <w:rPr>
                <w:rFonts w:ascii="Arial" w:hAnsi="Arial" w:cs="Arial"/>
                <w:sz w:val="20"/>
              </w:rPr>
              <w:t>-Hardy-Weinberg Equilibrium – a state where allele frequencies are NOT changing in a population over time (Note: This would never happen in a REAL populations)</w:t>
            </w:r>
          </w:p>
          <w:p w:rsidR="00362BF5" w:rsidRDefault="00362BF5" w:rsidP="00362BF5">
            <w:pPr>
              <w:rPr>
                <w:rFonts w:ascii="Arial" w:hAnsi="Arial" w:cs="Arial"/>
                <w:sz w:val="20"/>
              </w:rPr>
            </w:pPr>
            <w:r>
              <w:rPr>
                <w:rFonts w:ascii="Arial" w:hAnsi="Arial" w:cs="Arial"/>
                <w:sz w:val="20"/>
              </w:rPr>
              <w:t xml:space="preserve">-Conditions required for Hardy-Weinberg Equilibrium </w:t>
            </w:r>
          </w:p>
          <w:p w:rsidR="00362BF5" w:rsidRDefault="00362BF5" w:rsidP="00362BF5">
            <w:pPr>
              <w:rPr>
                <w:rFonts w:ascii="Arial" w:hAnsi="Arial" w:cs="Arial"/>
                <w:sz w:val="20"/>
                <w:szCs w:val="20"/>
              </w:rPr>
            </w:pPr>
            <w:r>
              <w:rPr>
                <w:rFonts w:ascii="Arial" w:hAnsi="Arial" w:cs="Arial"/>
                <w:sz w:val="20"/>
                <w:szCs w:val="20"/>
              </w:rPr>
              <w:t xml:space="preserve">1) No genetic drift (genetic drift happens most often in SMALL populations… large populations can be drastically decreased in size due to the bottleneck effect or founder effect) </w:t>
            </w:r>
          </w:p>
          <w:p w:rsidR="00362BF5" w:rsidRDefault="00362BF5" w:rsidP="00362BF5">
            <w:pPr>
              <w:rPr>
                <w:rFonts w:ascii="Arial" w:hAnsi="Arial" w:cs="Arial"/>
                <w:sz w:val="20"/>
                <w:szCs w:val="20"/>
              </w:rPr>
            </w:pPr>
            <w:r>
              <w:rPr>
                <w:rFonts w:ascii="Arial" w:hAnsi="Arial" w:cs="Arial"/>
                <w:sz w:val="20"/>
                <w:szCs w:val="20"/>
              </w:rPr>
              <w:t xml:space="preserve">2) No gene flow (aka migration) </w:t>
            </w:r>
          </w:p>
          <w:p w:rsidR="00362BF5" w:rsidRDefault="00362BF5" w:rsidP="00362BF5">
            <w:pPr>
              <w:rPr>
                <w:rFonts w:ascii="Arial" w:hAnsi="Arial" w:cs="Arial"/>
                <w:sz w:val="20"/>
                <w:szCs w:val="20"/>
              </w:rPr>
            </w:pPr>
            <w:r>
              <w:rPr>
                <w:rFonts w:ascii="Arial" w:hAnsi="Arial" w:cs="Arial"/>
                <w:sz w:val="20"/>
                <w:szCs w:val="20"/>
              </w:rPr>
              <w:t>3) No mutation</w:t>
            </w:r>
          </w:p>
          <w:p w:rsidR="00362BF5" w:rsidRDefault="00362BF5" w:rsidP="00362BF5">
            <w:pPr>
              <w:rPr>
                <w:rFonts w:ascii="Arial" w:hAnsi="Arial" w:cs="Arial"/>
                <w:sz w:val="20"/>
                <w:szCs w:val="20"/>
              </w:rPr>
            </w:pPr>
            <w:r>
              <w:rPr>
                <w:rFonts w:ascii="Arial" w:hAnsi="Arial" w:cs="Arial"/>
                <w:sz w:val="20"/>
                <w:szCs w:val="20"/>
              </w:rPr>
              <w:t>4) No sexual selection (aka random mating)</w:t>
            </w:r>
          </w:p>
          <w:p w:rsidR="00362BF5" w:rsidRDefault="00362BF5" w:rsidP="00362BF5">
            <w:pPr>
              <w:rPr>
                <w:rFonts w:ascii="Arial" w:hAnsi="Arial" w:cs="Arial"/>
                <w:sz w:val="20"/>
                <w:szCs w:val="20"/>
              </w:rPr>
            </w:pPr>
            <w:r>
              <w:rPr>
                <w:rFonts w:ascii="Arial" w:hAnsi="Arial" w:cs="Arial"/>
                <w:sz w:val="20"/>
                <w:szCs w:val="20"/>
              </w:rPr>
              <w:t>5) No natural selection</w:t>
            </w:r>
          </w:p>
          <w:p w:rsidR="00BD7C6E" w:rsidRDefault="00BD7C6E" w:rsidP="00362BF5">
            <w:pPr>
              <w:rPr>
                <w:rFonts w:ascii="Arial" w:hAnsi="Arial" w:cs="Arial"/>
                <w:sz w:val="20"/>
                <w:szCs w:val="20"/>
              </w:rPr>
            </w:pPr>
            <w:r>
              <w:rPr>
                <w:rFonts w:ascii="Arial" w:hAnsi="Arial" w:cs="Arial"/>
                <w:sz w:val="20"/>
                <w:szCs w:val="20"/>
              </w:rPr>
              <w:t>-The difference between allele, genotype, and phenotype</w:t>
            </w:r>
          </w:p>
          <w:p w:rsidR="00362BF5" w:rsidRDefault="00362BF5" w:rsidP="00362BF5">
            <w:pPr>
              <w:rPr>
                <w:rFonts w:ascii="Arial" w:hAnsi="Arial" w:cs="Arial"/>
                <w:sz w:val="20"/>
                <w:szCs w:val="20"/>
              </w:rPr>
            </w:pPr>
            <w:r w:rsidRPr="00A110E5">
              <w:rPr>
                <w:rFonts w:ascii="Arial" w:hAnsi="Arial" w:cs="Arial"/>
                <w:sz w:val="20"/>
                <w:szCs w:val="20"/>
                <w:highlight w:val="lightGray"/>
              </w:rPr>
              <w:t>-</w:t>
            </w:r>
            <w:r w:rsidR="00BD7C6E" w:rsidRPr="00A110E5">
              <w:rPr>
                <w:rFonts w:ascii="Arial" w:hAnsi="Arial" w:cs="Arial"/>
                <w:sz w:val="20"/>
                <w:szCs w:val="20"/>
                <w:highlight w:val="lightGray"/>
              </w:rPr>
              <w:t>The two Hardy Weinberg Equations and the meanings of each term in the equations (p, q, p</w:t>
            </w:r>
            <w:r w:rsidR="00BD7C6E" w:rsidRPr="00A110E5">
              <w:rPr>
                <w:rFonts w:ascii="Arial" w:hAnsi="Arial" w:cs="Arial"/>
                <w:sz w:val="20"/>
                <w:szCs w:val="20"/>
                <w:highlight w:val="lightGray"/>
                <w:vertAlign w:val="superscript"/>
              </w:rPr>
              <w:t>2</w:t>
            </w:r>
            <w:r w:rsidR="00BD7C6E" w:rsidRPr="00A110E5">
              <w:rPr>
                <w:rFonts w:ascii="Arial" w:hAnsi="Arial" w:cs="Arial"/>
                <w:sz w:val="20"/>
                <w:szCs w:val="20"/>
                <w:highlight w:val="lightGray"/>
              </w:rPr>
              <w:t>, 2pq, q</w:t>
            </w:r>
            <w:r w:rsidR="00BD7C6E" w:rsidRPr="00A110E5">
              <w:rPr>
                <w:rFonts w:ascii="Arial" w:hAnsi="Arial" w:cs="Arial"/>
                <w:sz w:val="20"/>
                <w:szCs w:val="20"/>
                <w:highlight w:val="lightGray"/>
                <w:vertAlign w:val="superscript"/>
              </w:rPr>
              <w:t>2</w:t>
            </w:r>
            <w:r w:rsidR="00BD7C6E" w:rsidRPr="00A110E5">
              <w:rPr>
                <w:rFonts w:ascii="Arial" w:hAnsi="Arial" w:cs="Arial"/>
                <w:sz w:val="20"/>
                <w:szCs w:val="20"/>
                <w:highlight w:val="lightGray"/>
              </w:rPr>
              <w:t>)</w:t>
            </w:r>
          </w:p>
          <w:p w:rsidR="00BD7C6E" w:rsidRPr="00BD7C6E" w:rsidRDefault="00BD7C6E" w:rsidP="00362BF5">
            <w:pPr>
              <w:rPr>
                <w:rFonts w:ascii="Arial" w:hAnsi="Arial" w:cs="Arial"/>
                <w:sz w:val="20"/>
                <w:szCs w:val="20"/>
              </w:rPr>
            </w:pPr>
          </w:p>
        </w:tc>
      </w:tr>
      <w:tr w:rsidR="00F07968" w:rsidTr="004729DC">
        <w:tc>
          <w:tcPr>
            <w:tcW w:w="1706" w:type="dxa"/>
            <w:vMerge w:val="restart"/>
          </w:tcPr>
          <w:p w:rsidR="00F07968" w:rsidRDefault="00C24066" w:rsidP="00197EFC">
            <w:pPr>
              <w:rPr>
                <w:rFonts w:ascii="Arial" w:hAnsi="Arial" w:cs="Arial"/>
                <w:sz w:val="20"/>
                <w:szCs w:val="20"/>
              </w:rPr>
            </w:pPr>
            <w:r>
              <w:rPr>
                <w:rFonts w:ascii="Arial" w:hAnsi="Arial" w:cs="Arial"/>
                <w:sz w:val="20"/>
                <w:szCs w:val="20"/>
              </w:rPr>
              <w:t xml:space="preserve">2 </w:t>
            </w:r>
            <w:r w:rsidR="00F07968">
              <w:rPr>
                <w:rFonts w:ascii="Arial" w:hAnsi="Arial" w:cs="Arial"/>
                <w:sz w:val="20"/>
                <w:szCs w:val="20"/>
              </w:rPr>
              <w:t xml:space="preserve">(Macroevolution) </w:t>
            </w:r>
          </w:p>
        </w:tc>
        <w:tc>
          <w:tcPr>
            <w:tcW w:w="1739" w:type="dxa"/>
          </w:tcPr>
          <w:p w:rsidR="00F07968" w:rsidRDefault="00F07968" w:rsidP="00197EFC">
            <w:pPr>
              <w:rPr>
                <w:rFonts w:ascii="Arial" w:hAnsi="Arial" w:cs="Arial"/>
                <w:sz w:val="20"/>
                <w:szCs w:val="20"/>
              </w:rPr>
            </w:pPr>
            <w:r>
              <w:rPr>
                <w:rFonts w:ascii="Arial" w:hAnsi="Arial" w:cs="Arial"/>
                <w:sz w:val="20"/>
                <w:szCs w:val="20"/>
              </w:rPr>
              <w:t xml:space="preserve">1 (Macroevolution and Speciation) </w:t>
            </w:r>
          </w:p>
        </w:tc>
        <w:tc>
          <w:tcPr>
            <w:tcW w:w="6131" w:type="dxa"/>
          </w:tcPr>
          <w:p w:rsidR="00F07968" w:rsidRDefault="00F07968" w:rsidP="00362BF5">
            <w:pPr>
              <w:rPr>
                <w:rFonts w:ascii="Arial" w:hAnsi="Arial" w:cs="Arial"/>
                <w:sz w:val="20"/>
                <w:szCs w:val="20"/>
              </w:rPr>
            </w:pPr>
            <w:r>
              <w:rPr>
                <w:rFonts w:ascii="Arial" w:hAnsi="Arial" w:cs="Arial"/>
                <w:sz w:val="20"/>
                <w:szCs w:val="20"/>
              </w:rPr>
              <w:t>-The biological definition of a species</w:t>
            </w:r>
          </w:p>
          <w:p w:rsidR="00C24066" w:rsidRDefault="00C24066" w:rsidP="00C24066">
            <w:pPr>
              <w:rPr>
                <w:rFonts w:ascii="Arial" w:hAnsi="Arial" w:cs="Arial"/>
                <w:sz w:val="20"/>
                <w:szCs w:val="20"/>
              </w:rPr>
            </w:pPr>
            <w:r>
              <w:rPr>
                <w:rFonts w:ascii="Arial" w:hAnsi="Arial" w:cs="Arial"/>
                <w:sz w:val="20"/>
                <w:szCs w:val="20"/>
              </w:rPr>
              <w:t>-The difference between geographic and reproductive isolation</w:t>
            </w:r>
          </w:p>
          <w:p w:rsidR="00C24066" w:rsidRDefault="00C24066" w:rsidP="00C24066">
            <w:pPr>
              <w:rPr>
                <w:rFonts w:ascii="Arial" w:hAnsi="Arial" w:cs="Arial"/>
                <w:sz w:val="20"/>
                <w:szCs w:val="20"/>
              </w:rPr>
            </w:pPr>
            <w:r>
              <w:rPr>
                <w:rFonts w:ascii="Arial" w:hAnsi="Arial" w:cs="Arial"/>
                <w:sz w:val="20"/>
                <w:szCs w:val="20"/>
              </w:rPr>
              <w:t xml:space="preserve">-The difference between the two types of reproductive isolation: </w:t>
            </w:r>
            <w:proofErr w:type="spellStart"/>
            <w:r>
              <w:rPr>
                <w:rFonts w:ascii="Arial" w:hAnsi="Arial" w:cs="Arial"/>
                <w:sz w:val="20"/>
                <w:szCs w:val="20"/>
              </w:rPr>
              <w:t>prezygotic</w:t>
            </w:r>
            <w:proofErr w:type="spellEnd"/>
            <w:r>
              <w:rPr>
                <w:rFonts w:ascii="Arial" w:hAnsi="Arial" w:cs="Arial"/>
                <w:sz w:val="20"/>
                <w:szCs w:val="20"/>
              </w:rPr>
              <w:t xml:space="preserve"> and </w:t>
            </w:r>
            <w:proofErr w:type="spellStart"/>
            <w:r>
              <w:rPr>
                <w:rFonts w:ascii="Arial" w:hAnsi="Arial" w:cs="Arial"/>
                <w:sz w:val="20"/>
                <w:szCs w:val="20"/>
              </w:rPr>
              <w:t>postzygotic</w:t>
            </w:r>
            <w:proofErr w:type="spellEnd"/>
            <w:r>
              <w:rPr>
                <w:rFonts w:ascii="Arial" w:hAnsi="Arial" w:cs="Arial"/>
                <w:sz w:val="20"/>
                <w:szCs w:val="20"/>
              </w:rPr>
              <w:t xml:space="preserve"> (and examples of each) </w:t>
            </w:r>
          </w:p>
          <w:p w:rsidR="00C24066" w:rsidRDefault="00C24066" w:rsidP="00C24066">
            <w:pPr>
              <w:rPr>
                <w:rFonts w:ascii="Arial" w:hAnsi="Arial" w:cs="Arial"/>
                <w:sz w:val="20"/>
                <w:szCs w:val="20"/>
              </w:rPr>
            </w:pPr>
            <w:r>
              <w:rPr>
                <w:rFonts w:ascii="Arial" w:hAnsi="Arial" w:cs="Arial"/>
                <w:sz w:val="20"/>
                <w:szCs w:val="20"/>
              </w:rPr>
              <w:t>-Definitions of divergent evolution, convergent evolution, and coevolution</w:t>
            </w:r>
          </w:p>
          <w:p w:rsidR="00F07968" w:rsidRDefault="00C24066" w:rsidP="00362BF5">
            <w:pPr>
              <w:rPr>
                <w:rFonts w:ascii="Arial" w:hAnsi="Arial" w:cs="Arial"/>
                <w:sz w:val="20"/>
                <w:szCs w:val="20"/>
              </w:rPr>
            </w:pPr>
            <w:r>
              <w:rPr>
                <w:rFonts w:ascii="Arial" w:hAnsi="Arial" w:cs="Arial"/>
                <w:sz w:val="20"/>
                <w:szCs w:val="20"/>
              </w:rPr>
              <w:t>-Definitions of gradualism and punctuated equilibrium</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2 (Classification and Biodiversity) </w:t>
            </w:r>
          </w:p>
        </w:tc>
        <w:tc>
          <w:tcPr>
            <w:tcW w:w="6131" w:type="dxa"/>
          </w:tcPr>
          <w:p w:rsidR="00F07968" w:rsidRDefault="00F07968">
            <w:pPr>
              <w:rPr>
                <w:rFonts w:ascii="Arial" w:hAnsi="Arial" w:cs="Arial"/>
                <w:sz w:val="20"/>
                <w:szCs w:val="20"/>
              </w:rPr>
            </w:pPr>
            <w:r>
              <w:rPr>
                <w:rFonts w:ascii="Arial" w:hAnsi="Arial" w:cs="Arial"/>
                <w:sz w:val="20"/>
                <w:szCs w:val="20"/>
              </w:rPr>
              <w:t>-How to analyze a cladogram (see Cladogram Tutorial Image on the Wiki page)</w:t>
            </w:r>
          </w:p>
          <w:p w:rsidR="00F07968" w:rsidRDefault="00F07968">
            <w:pPr>
              <w:rPr>
                <w:rFonts w:ascii="Arial" w:hAnsi="Arial" w:cs="Arial"/>
                <w:sz w:val="20"/>
                <w:szCs w:val="20"/>
              </w:rPr>
            </w:pPr>
            <w:r>
              <w:rPr>
                <w:rFonts w:ascii="Arial" w:hAnsi="Arial" w:cs="Arial"/>
                <w:sz w:val="20"/>
                <w:szCs w:val="20"/>
              </w:rPr>
              <w:t>-Evidence for and characteristics of the universal common ancestor</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3 (Origin and History of Life) </w:t>
            </w:r>
          </w:p>
        </w:tc>
        <w:tc>
          <w:tcPr>
            <w:tcW w:w="6131" w:type="dxa"/>
          </w:tcPr>
          <w:p w:rsidR="00F07968" w:rsidRDefault="00F07968">
            <w:pPr>
              <w:rPr>
                <w:rFonts w:ascii="Arial" w:hAnsi="Arial" w:cs="Arial"/>
                <w:sz w:val="20"/>
                <w:szCs w:val="20"/>
              </w:rPr>
            </w:pPr>
            <w:r>
              <w:rPr>
                <w:rFonts w:ascii="Arial" w:hAnsi="Arial" w:cs="Arial"/>
                <w:sz w:val="20"/>
                <w:szCs w:val="20"/>
              </w:rPr>
              <w:t>-The methods, results, and conclusions of the Miller / Urey Experiment</w:t>
            </w:r>
          </w:p>
          <w:p w:rsidR="00F07968" w:rsidRDefault="00F07968">
            <w:pPr>
              <w:rPr>
                <w:rFonts w:ascii="Arial" w:hAnsi="Arial" w:cs="Arial"/>
                <w:sz w:val="20"/>
                <w:szCs w:val="20"/>
              </w:rPr>
            </w:pPr>
            <w:r>
              <w:rPr>
                <w:rFonts w:ascii="Arial" w:hAnsi="Arial" w:cs="Arial"/>
                <w:sz w:val="20"/>
                <w:szCs w:val="20"/>
              </w:rPr>
              <w:t>-The RNA World Hypothesis</w:t>
            </w:r>
          </w:p>
        </w:tc>
      </w:tr>
      <w:tr w:rsidR="00F07968" w:rsidTr="004729DC">
        <w:tc>
          <w:tcPr>
            <w:tcW w:w="1706" w:type="dxa"/>
            <w:vMerge w:val="restart"/>
          </w:tcPr>
          <w:p w:rsidR="00F07968" w:rsidRDefault="00F07968">
            <w:pPr>
              <w:rPr>
                <w:rFonts w:ascii="Arial" w:hAnsi="Arial" w:cs="Arial"/>
                <w:sz w:val="20"/>
                <w:szCs w:val="20"/>
              </w:rPr>
            </w:pPr>
            <w:r>
              <w:rPr>
                <w:rFonts w:ascii="Arial" w:hAnsi="Arial" w:cs="Arial"/>
                <w:sz w:val="20"/>
                <w:szCs w:val="20"/>
              </w:rPr>
              <w:t xml:space="preserve">3 (Ecology) </w:t>
            </w:r>
          </w:p>
        </w:tc>
        <w:tc>
          <w:tcPr>
            <w:tcW w:w="1739" w:type="dxa"/>
          </w:tcPr>
          <w:p w:rsidR="00F07968" w:rsidRDefault="00F07968">
            <w:pPr>
              <w:rPr>
                <w:rFonts w:ascii="Arial" w:hAnsi="Arial" w:cs="Arial"/>
                <w:sz w:val="20"/>
                <w:szCs w:val="20"/>
              </w:rPr>
            </w:pPr>
            <w:r>
              <w:rPr>
                <w:rFonts w:ascii="Arial" w:hAnsi="Arial" w:cs="Arial"/>
                <w:sz w:val="20"/>
                <w:szCs w:val="20"/>
              </w:rPr>
              <w:t>1 (Population Ecology)</w:t>
            </w:r>
          </w:p>
        </w:tc>
        <w:tc>
          <w:tcPr>
            <w:tcW w:w="6131" w:type="dxa"/>
          </w:tcPr>
          <w:p w:rsidR="00F07968" w:rsidRDefault="00F07968">
            <w:pPr>
              <w:rPr>
                <w:rFonts w:ascii="Arial" w:hAnsi="Arial" w:cs="Arial"/>
                <w:sz w:val="20"/>
                <w:szCs w:val="20"/>
              </w:rPr>
            </w:pPr>
            <w:r>
              <w:rPr>
                <w:rFonts w:ascii="Arial" w:hAnsi="Arial" w:cs="Arial"/>
                <w:sz w:val="20"/>
                <w:szCs w:val="20"/>
              </w:rPr>
              <w:t xml:space="preserve">-The difference between exponential and logistic growth (+ know the definition of carrying capacity) </w:t>
            </w:r>
          </w:p>
        </w:tc>
      </w:tr>
      <w:tr w:rsidR="00F07968" w:rsidTr="00194ABF">
        <w:tc>
          <w:tcPr>
            <w:tcW w:w="1706" w:type="dxa"/>
            <w:vMerge/>
            <w:vAlign w:val="center"/>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2 (Community Ecology) </w:t>
            </w:r>
          </w:p>
        </w:tc>
        <w:tc>
          <w:tcPr>
            <w:tcW w:w="6131" w:type="dxa"/>
          </w:tcPr>
          <w:p w:rsidR="00F07968" w:rsidRDefault="00F07968">
            <w:pPr>
              <w:rPr>
                <w:rFonts w:ascii="Arial" w:hAnsi="Arial" w:cs="Arial"/>
                <w:sz w:val="20"/>
                <w:szCs w:val="20"/>
              </w:rPr>
            </w:pPr>
            <w:r>
              <w:rPr>
                <w:rFonts w:ascii="Arial" w:hAnsi="Arial" w:cs="Arial"/>
                <w:sz w:val="20"/>
                <w:szCs w:val="20"/>
              </w:rPr>
              <w:t>-How to analyze a food web</w:t>
            </w:r>
          </w:p>
          <w:p w:rsidR="00F07968" w:rsidRDefault="00F07968">
            <w:pPr>
              <w:rPr>
                <w:rFonts w:ascii="Arial" w:hAnsi="Arial" w:cs="Arial"/>
                <w:sz w:val="20"/>
                <w:szCs w:val="20"/>
              </w:rPr>
            </w:pPr>
            <w:r>
              <w:rPr>
                <w:rFonts w:ascii="Arial" w:hAnsi="Arial" w:cs="Arial"/>
                <w:sz w:val="20"/>
                <w:szCs w:val="20"/>
              </w:rPr>
              <w:t>-The food sources for all the trophic levels shown in a food web</w:t>
            </w:r>
          </w:p>
          <w:p w:rsidR="00F07968" w:rsidRDefault="00F07968">
            <w:pPr>
              <w:rPr>
                <w:rFonts w:ascii="Arial" w:hAnsi="Arial" w:cs="Arial"/>
                <w:sz w:val="20"/>
                <w:szCs w:val="20"/>
              </w:rPr>
            </w:pPr>
            <w:r>
              <w:rPr>
                <w:rFonts w:ascii="Arial" w:hAnsi="Arial" w:cs="Arial"/>
                <w:sz w:val="20"/>
                <w:szCs w:val="20"/>
              </w:rPr>
              <w:t>-The different types of symbiotic relationships</w:t>
            </w:r>
          </w:p>
          <w:p w:rsidR="00F07968" w:rsidRDefault="00F07968">
            <w:pPr>
              <w:rPr>
                <w:rFonts w:ascii="Arial" w:hAnsi="Arial" w:cs="Arial"/>
                <w:sz w:val="20"/>
                <w:szCs w:val="20"/>
              </w:rPr>
            </w:pPr>
            <w:r>
              <w:rPr>
                <w:rFonts w:ascii="Arial" w:hAnsi="Arial" w:cs="Arial"/>
                <w:sz w:val="20"/>
                <w:szCs w:val="20"/>
              </w:rPr>
              <w:t>-Definition of the competitive exclusion principle</w:t>
            </w:r>
          </w:p>
          <w:p w:rsidR="00F07968" w:rsidRDefault="00F07968">
            <w:pPr>
              <w:rPr>
                <w:rFonts w:ascii="Arial" w:hAnsi="Arial" w:cs="Arial"/>
                <w:sz w:val="20"/>
                <w:szCs w:val="20"/>
              </w:rPr>
            </w:pPr>
            <w:r>
              <w:rPr>
                <w:rFonts w:ascii="Arial" w:hAnsi="Arial" w:cs="Arial"/>
                <w:sz w:val="20"/>
                <w:szCs w:val="20"/>
              </w:rPr>
              <w:t>-The definition of a keystone species</w:t>
            </w:r>
          </w:p>
        </w:tc>
      </w:tr>
      <w:tr w:rsidR="00F07968" w:rsidTr="00194ABF">
        <w:tc>
          <w:tcPr>
            <w:tcW w:w="1706" w:type="dxa"/>
            <w:vMerge/>
            <w:vAlign w:val="center"/>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3 (Ecosystems) </w:t>
            </w:r>
          </w:p>
        </w:tc>
        <w:tc>
          <w:tcPr>
            <w:tcW w:w="6131" w:type="dxa"/>
          </w:tcPr>
          <w:p w:rsidR="00F07968" w:rsidRDefault="00F07968">
            <w:pPr>
              <w:rPr>
                <w:rFonts w:ascii="Arial" w:hAnsi="Arial" w:cs="Arial"/>
                <w:sz w:val="20"/>
                <w:szCs w:val="20"/>
              </w:rPr>
            </w:pPr>
            <w:r>
              <w:rPr>
                <w:rFonts w:ascii="Arial" w:hAnsi="Arial" w:cs="Arial"/>
                <w:sz w:val="20"/>
                <w:szCs w:val="20"/>
              </w:rPr>
              <w:t>-The processes of primary and secondary succession</w:t>
            </w:r>
          </w:p>
          <w:p w:rsidR="00F07968" w:rsidRDefault="00F07968">
            <w:pPr>
              <w:rPr>
                <w:rFonts w:ascii="Arial" w:hAnsi="Arial" w:cs="Arial"/>
                <w:sz w:val="20"/>
                <w:szCs w:val="20"/>
              </w:rPr>
            </w:pPr>
            <w:r>
              <w:rPr>
                <w:rFonts w:ascii="Arial" w:hAnsi="Arial" w:cs="Arial"/>
                <w:sz w:val="20"/>
                <w:szCs w:val="20"/>
              </w:rPr>
              <w:t xml:space="preserve">-The difference between </w:t>
            </w:r>
            <w:proofErr w:type="spellStart"/>
            <w:r>
              <w:rPr>
                <w:rFonts w:ascii="Arial" w:hAnsi="Arial" w:cs="Arial"/>
                <w:sz w:val="20"/>
                <w:szCs w:val="20"/>
              </w:rPr>
              <w:t>ectothermy</w:t>
            </w:r>
            <w:proofErr w:type="spellEnd"/>
            <w:r>
              <w:rPr>
                <w:rFonts w:ascii="Arial" w:hAnsi="Arial" w:cs="Arial"/>
                <w:sz w:val="20"/>
                <w:szCs w:val="20"/>
              </w:rPr>
              <w:t xml:space="preserve"> and </w:t>
            </w:r>
            <w:proofErr w:type="spellStart"/>
            <w:r>
              <w:rPr>
                <w:rFonts w:ascii="Arial" w:hAnsi="Arial" w:cs="Arial"/>
                <w:sz w:val="20"/>
                <w:szCs w:val="20"/>
              </w:rPr>
              <w:t>endothermy</w:t>
            </w:r>
            <w:proofErr w:type="spellEnd"/>
            <w:r>
              <w:rPr>
                <w:rFonts w:ascii="Arial" w:hAnsi="Arial" w:cs="Arial"/>
                <w:sz w:val="20"/>
                <w:szCs w:val="20"/>
              </w:rPr>
              <w:t xml:space="preserve"> (two temperature regulation strategies)</w:t>
            </w:r>
          </w:p>
          <w:p w:rsidR="00F07968" w:rsidRDefault="00F07968">
            <w:pPr>
              <w:rPr>
                <w:rFonts w:ascii="Arial" w:hAnsi="Arial" w:cs="Arial"/>
                <w:sz w:val="20"/>
                <w:szCs w:val="20"/>
              </w:rPr>
            </w:pPr>
            <w:r>
              <w:rPr>
                <w:rFonts w:ascii="Arial" w:hAnsi="Arial" w:cs="Arial"/>
                <w:sz w:val="20"/>
                <w:szCs w:val="20"/>
              </w:rPr>
              <w:t xml:space="preserve">-The characteristics of and effects of invasive species </w:t>
            </w:r>
          </w:p>
        </w:tc>
      </w:tr>
      <w:tr w:rsidR="00F07968" w:rsidTr="00194ABF">
        <w:tc>
          <w:tcPr>
            <w:tcW w:w="1706" w:type="dxa"/>
            <w:vMerge/>
            <w:vAlign w:val="center"/>
          </w:tcPr>
          <w:p w:rsidR="00F07968" w:rsidRDefault="00F07968" w:rsidP="00197EFC">
            <w:pPr>
              <w:rPr>
                <w:rFonts w:ascii="Arial" w:hAnsi="Arial" w:cs="Arial"/>
                <w:sz w:val="20"/>
                <w:szCs w:val="20"/>
              </w:rPr>
            </w:pPr>
          </w:p>
        </w:tc>
        <w:tc>
          <w:tcPr>
            <w:tcW w:w="1739" w:type="dxa"/>
          </w:tcPr>
          <w:p w:rsidR="00F07968" w:rsidRDefault="00F07968">
            <w:pPr>
              <w:rPr>
                <w:rFonts w:ascii="Arial" w:hAnsi="Arial" w:cs="Arial"/>
                <w:sz w:val="20"/>
                <w:szCs w:val="20"/>
              </w:rPr>
            </w:pPr>
            <w:r>
              <w:rPr>
                <w:rFonts w:ascii="Arial" w:hAnsi="Arial" w:cs="Arial"/>
                <w:sz w:val="20"/>
                <w:szCs w:val="20"/>
              </w:rPr>
              <w:t xml:space="preserve">4 (Biogeochemical Cycles) </w:t>
            </w:r>
          </w:p>
        </w:tc>
        <w:tc>
          <w:tcPr>
            <w:tcW w:w="6131" w:type="dxa"/>
          </w:tcPr>
          <w:p w:rsidR="00F07968" w:rsidRDefault="00F07968">
            <w:pPr>
              <w:rPr>
                <w:rFonts w:ascii="Arial" w:hAnsi="Arial" w:cs="Arial"/>
                <w:sz w:val="20"/>
                <w:szCs w:val="20"/>
              </w:rPr>
            </w:pPr>
            <w:r>
              <w:rPr>
                <w:rFonts w:ascii="Arial" w:hAnsi="Arial" w:cs="Arial"/>
                <w:sz w:val="20"/>
                <w:szCs w:val="20"/>
              </w:rPr>
              <w:t>-Be able to answer questions about the cycles if provided with diagrams</w:t>
            </w:r>
          </w:p>
          <w:p w:rsidR="00F07968" w:rsidRDefault="00F07968">
            <w:pPr>
              <w:rPr>
                <w:rFonts w:ascii="Arial" w:hAnsi="Arial" w:cs="Arial"/>
                <w:sz w:val="20"/>
                <w:szCs w:val="20"/>
              </w:rPr>
            </w:pPr>
          </w:p>
        </w:tc>
      </w:tr>
      <w:tr w:rsidR="00A77BDB" w:rsidTr="004729DC">
        <w:tc>
          <w:tcPr>
            <w:tcW w:w="1706" w:type="dxa"/>
          </w:tcPr>
          <w:p w:rsidR="00A77BDB" w:rsidRDefault="00A77BDB" w:rsidP="00197EFC">
            <w:pPr>
              <w:rPr>
                <w:rFonts w:ascii="Arial" w:hAnsi="Arial" w:cs="Arial"/>
                <w:sz w:val="20"/>
                <w:szCs w:val="20"/>
              </w:rPr>
            </w:pPr>
            <w:r>
              <w:rPr>
                <w:rFonts w:ascii="Arial" w:hAnsi="Arial" w:cs="Arial"/>
                <w:sz w:val="20"/>
                <w:szCs w:val="20"/>
              </w:rPr>
              <w:t xml:space="preserve">4 (Biochemistry) </w:t>
            </w:r>
          </w:p>
        </w:tc>
        <w:tc>
          <w:tcPr>
            <w:tcW w:w="1739" w:type="dxa"/>
          </w:tcPr>
          <w:p w:rsidR="00A77BDB" w:rsidRDefault="00A77BDB" w:rsidP="00197EFC">
            <w:pPr>
              <w:rPr>
                <w:rFonts w:ascii="Arial" w:hAnsi="Arial" w:cs="Arial"/>
                <w:sz w:val="20"/>
                <w:szCs w:val="20"/>
              </w:rPr>
            </w:pPr>
            <w:r>
              <w:rPr>
                <w:rFonts w:ascii="Arial" w:hAnsi="Arial" w:cs="Arial"/>
                <w:sz w:val="20"/>
                <w:szCs w:val="20"/>
              </w:rPr>
              <w:t>3 and 4 (Macromolecules A and B)</w:t>
            </w:r>
          </w:p>
        </w:tc>
        <w:tc>
          <w:tcPr>
            <w:tcW w:w="6131" w:type="dxa"/>
          </w:tcPr>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t>-The elements and functional groups found in all four macromolecules</w:t>
            </w:r>
          </w:p>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t xml:space="preserve">-The names, structures, and examples of monomers for all four </w:t>
            </w:r>
            <w:r w:rsidRPr="00A110E5">
              <w:rPr>
                <w:rFonts w:ascii="Arial" w:hAnsi="Arial" w:cs="Arial"/>
                <w:sz w:val="20"/>
                <w:szCs w:val="20"/>
                <w:highlight w:val="lightGray"/>
              </w:rPr>
              <w:lastRenderedPageBreak/>
              <w:t>macromolecules</w:t>
            </w:r>
          </w:p>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t>-The names, structures, and examples of polymers for all four macromolecules</w:t>
            </w:r>
          </w:p>
          <w:p w:rsidR="00A77BDB" w:rsidRPr="00A110E5" w:rsidRDefault="00A77BDB" w:rsidP="00362BF5">
            <w:pPr>
              <w:rPr>
                <w:rFonts w:ascii="Arial" w:hAnsi="Arial" w:cs="Arial"/>
                <w:sz w:val="20"/>
                <w:szCs w:val="20"/>
                <w:highlight w:val="lightGray"/>
              </w:rPr>
            </w:pPr>
            <w:r w:rsidRPr="00A110E5">
              <w:rPr>
                <w:rFonts w:ascii="Arial" w:hAnsi="Arial" w:cs="Arial"/>
                <w:sz w:val="20"/>
                <w:szCs w:val="20"/>
                <w:highlight w:val="lightGray"/>
              </w:rPr>
              <w:t>-Be able to recognize images of monomers and polymers for all four macromolecules</w:t>
            </w:r>
          </w:p>
          <w:p w:rsidR="00A77BDB" w:rsidRDefault="00A77BDB" w:rsidP="00362BF5">
            <w:pPr>
              <w:rPr>
                <w:rFonts w:ascii="Arial" w:hAnsi="Arial" w:cs="Arial"/>
                <w:sz w:val="20"/>
                <w:szCs w:val="20"/>
              </w:rPr>
            </w:pPr>
            <w:r w:rsidRPr="00A110E5">
              <w:rPr>
                <w:rFonts w:ascii="Arial" w:hAnsi="Arial" w:cs="Arial"/>
                <w:sz w:val="20"/>
                <w:szCs w:val="20"/>
                <w:highlight w:val="lightGray"/>
              </w:rPr>
              <w:t>-The difference between dehydration synthesis and hydrolysis (Be able to recognize images of the two processes)</w:t>
            </w:r>
            <w:r>
              <w:rPr>
                <w:rFonts w:ascii="Arial" w:hAnsi="Arial" w:cs="Arial"/>
                <w:sz w:val="20"/>
                <w:szCs w:val="20"/>
              </w:rPr>
              <w:t xml:space="preserve">  </w:t>
            </w:r>
          </w:p>
        </w:tc>
      </w:tr>
      <w:tr w:rsidR="004729DC" w:rsidTr="004729DC">
        <w:tc>
          <w:tcPr>
            <w:tcW w:w="1706" w:type="dxa"/>
            <w:vMerge w:val="restart"/>
          </w:tcPr>
          <w:p w:rsidR="004729DC" w:rsidRDefault="004729DC" w:rsidP="00197EFC">
            <w:pPr>
              <w:rPr>
                <w:rFonts w:ascii="Arial" w:hAnsi="Arial" w:cs="Arial"/>
                <w:sz w:val="20"/>
                <w:szCs w:val="20"/>
              </w:rPr>
            </w:pPr>
            <w:r>
              <w:rPr>
                <w:rFonts w:ascii="Arial" w:hAnsi="Arial" w:cs="Arial"/>
                <w:sz w:val="20"/>
                <w:szCs w:val="20"/>
              </w:rPr>
              <w:lastRenderedPageBreak/>
              <w:t xml:space="preserve">5 (Cell Structure and Transport) </w:t>
            </w:r>
          </w:p>
        </w:tc>
        <w:tc>
          <w:tcPr>
            <w:tcW w:w="1739" w:type="dxa"/>
          </w:tcPr>
          <w:p w:rsidR="004729DC" w:rsidRDefault="004729DC" w:rsidP="00197EFC">
            <w:pPr>
              <w:rPr>
                <w:rFonts w:ascii="Arial" w:hAnsi="Arial" w:cs="Arial"/>
                <w:sz w:val="20"/>
                <w:szCs w:val="20"/>
              </w:rPr>
            </w:pPr>
            <w:r>
              <w:rPr>
                <w:rFonts w:ascii="Arial" w:hAnsi="Arial" w:cs="Arial"/>
                <w:sz w:val="20"/>
                <w:szCs w:val="20"/>
              </w:rPr>
              <w:t>1 (Cell Structure)</w:t>
            </w:r>
          </w:p>
        </w:tc>
        <w:tc>
          <w:tcPr>
            <w:tcW w:w="6131" w:type="dxa"/>
          </w:tcPr>
          <w:p w:rsidR="004729DC" w:rsidRDefault="004729DC" w:rsidP="00362BF5">
            <w:pPr>
              <w:rPr>
                <w:rFonts w:ascii="Arial" w:hAnsi="Arial" w:cs="Arial"/>
                <w:sz w:val="20"/>
                <w:szCs w:val="20"/>
              </w:rPr>
            </w:pPr>
            <w:r>
              <w:rPr>
                <w:rFonts w:ascii="Arial" w:hAnsi="Arial" w:cs="Arial"/>
                <w:sz w:val="20"/>
                <w:szCs w:val="20"/>
              </w:rPr>
              <w:t>-The differences between prokaryotic vs. eukaryotic and plant vs. animal cells</w:t>
            </w:r>
          </w:p>
          <w:p w:rsidR="004729DC" w:rsidRDefault="004729DC" w:rsidP="00362BF5">
            <w:pPr>
              <w:rPr>
                <w:rFonts w:ascii="Arial" w:hAnsi="Arial" w:cs="Arial"/>
                <w:sz w:val="20"/>
                <w:szCs w:val="20"/>
              </w:rPr>
            </w:pPr>
            <w:r>
              <w:rPr>
                <w:rFonts w:ascii="Arial" w:hAnsi="Arial" w:cs="Arial"/>
                <w:sz w:val="20"/>
                <w:szCs w:val="20"/>
              </w:rPr>
              <w:t>-The definition of the theory of endosymbiosis, names of organelles that evolved through this process, and evidence to support the theory</w:t>
            </w:r>
          </w:p>
          <w:p w:rsidR="004729DC" w:rsidRDefault="004729DC" w:rsidP="00362BF5">
            <w:pPr>
              <w:rPr>
                <w:rFonts w:ascii="Arial" w:hAnsi="Arial" w:cs="Arial"/>
                <w:sz w:val="20"/>
                <w:szCs w:val="20"/>
              </w:rPr>
            </w:pPr>
            <w:r>
              <w:rPr>
                <w:rFonts w:ascii="Arial" w:hAnsi="Arial" w:cs="Arial"/>
                <w:sz w:val="20"/>
                <w:szCs w:val="20"/>
              </w:rPr>
              <w:t>-Organelles and steps involved in the endomembrane system and purpose of the endomembrane system</w:t>
            </w:r>
          </w:p>
          <w:p w:rsidR="004729DC" w:rsidRDefault="004729DC" w:rsidP="00362BF5">
            <w:pPr>
              <w:rPr>
                <w:rFonts w:ascii="Arial" w:hAnsi="Arial" w:cs="Arial"/>
                <w:sz w:val="20"/>
                <w:szCs w:val="20"/>
              </w:rPr>
            </w:pPr>
          </w:p>
        </w:tc>
      </w:tr>
      <w:tr w:rsidR="004729DC" w:rsidTr="004729DC">
        <w:tc>
          <w:tcPr>
            <w:tcW w:w="1706" w:type="dxa"/>
            <w:vMerge/>
          </w:tcPr>
          <w:p w:rsidR="004729DC" w:rsidRDefault="004729DC" w:rsidP="00197EFC">
            <w:pPr>
              <w:rPr>
                <w:rFonts w:ascii="Arial" w:hAnsi="Arial" w:cs="Arial"/>
                <w:sz w:val="20"/>
                <w:szCs w:val="20"/>
              </w:rPr>
            </w:pPr>
          </w:p>
        </w:tc>
        <w:tc>
          <w:tcPr>
            <w:tcW w:w="1739" w:type="dxa"/>
          </w:tcPr>
          <w:p w:rsidR="004729DC" w:rsidRDefault="004729DC" w:rsidP="00197EFC">
            <w:pPr>
              <w:rPr>
                <w:rFonts w:ascii="Arial" w:hAnsi="Arial" w:cs="Arial"/>
                <w:sz w:val="20"/>
                <w:szCs w:val="20"/>
              </w:rPr>
            </w:pPr>
            <w:r>
              <w:rPr>
                <w:rFonts w:ascii="Arial" w:hAnsi="Arial" w:cs="Arial"/>
                <w:sz w:val="20"/>
                <w:szCs w:val="20"/>
              </w:rPr>
              <w:t>2 (Cell Membrane and Transport)</w:t>
            </w:r>
          </w:p>
        </w:tc>
        <w:tc>
          <w:tcPr>
            <w:tcW w:w="6131" w:type="dxa"/>
          </w:tcPr>
          <w:p w:rsidR="004729DC" w:rsidRDefault="004729DC" w:rsidP="00362BF5">
            <w:pPr>
              <w:rPr>
                <w:rFonts w:ascii="Arial" w:hAnsi="Arial" w:cs="Arial"/>
                <w:sz w:val="20"/>
                <w:szCs w:val="20"/>
              </w:rPr>
            </w:pPr>
            <w:r>
              <w:rPr>
                <w:rFonts w:ascii="Arial" w:hAnsi="Arial" w:cs="Arial"/>
                <w:sz w:val="20"/>
                <w:szCs w:val="20"/>
              </w:rPr>
              <w:t>-The basic structure of the membrane</w:t>
            </w:r>
          </w:p>
          <w:p w:rsidR="004729DC" w:rsidRDefault="004729DC" w:rsidP="00362BF5">
            <w:pPr>
              <w:rPr>
                <w:rFonts w:ascii="Arial" w:hAnsi="Arial" w:cs="Arial"/>
                <w:sz w:val="20"/>
                <w:szCs w:val="20"/>
              </w:rPr>
            </w:pPr>
            <w:r>
              <w:rPr>
                <w:rFonts w:ascii="Arial" w:hAnsi="Arial" w:cs="Arial"/>
                <w:sz w:val="20"/>
                <w:szCs w:val="20"/>
              </w:rPr>
              <w:t xml:space="preserve">-The differences between the types of transport across the membrane (i.e. simple diffusion, facilitated diffusion, osmosis, active transport using protein pumps, endocytosis / exocytosis) </w:t>
            </w:r>
          </w:p>
          <w:p w:rsidR="004729DC" w:rsidRDefault="004729DC" w:rsidP="004729DC">
            <w:pPr>
              <w:rPr>
                <w:rFonts w:ascii="Arial" w:hAnsi="Arial" w:cs="Arial"/>
                <w:sz w:val="20"/>
                <w:szCs w:val="20"/>
              </w:rPr>
            </w:pPr>
            <w:r w:rsidRPr="00A110E5">
              <w:rPr>
                <w:rFonts w:ascii="Arial" w:hAnsi="Arial" w:cs="Arial"/>
                <w:sz w:val="20"/>
                <w:szCs w:val="20"/>
                <w:highlight w:val="lightGray"/>
              </w:rPr>
              <w:t>-The definitions of hypotonic, hypertonic, and isotonic solutions</w:t>
            </w:r>
          </w:p>
        </w:tc>
      </w:tr>
      <w:tr w:rsidR="00F07968" w:rsidTr="004729DC">
        <w:tc>
          <w:tcPr>
            <w:tcW w:w="1706" w:type="dxa"/>
            <w:vMerge w:val="restart"/>
          </w:tcPr>
          <w:p w:rsidR="00F07968" w:rsidRDefault="00F07968" w:rsidP="00197EFC">
            <w:pPr>
              <w:rPr>
                <w:rFonts w:ascii="Arial" w:hAnsi="Arial" w:cs="Arial"/>
                <w:sz w:val="20"/>
                <w:szCs w:val="20"/>
              </w:rPr>
            </w:pPr>
            <w:r>
              <w:rPr>
                <w:rFonts w:ascii="Arial" w:hAnsi="Arial" w:cs="Arial"/>
                <w:sz w:val="20"/>
                <w:szCs w:val="20"/>
              </w:rPr>
              <w:t xml:space="preserve">6 (Enzymes and Cell Respiration) </w:t>
            </w:r>
          </w:p>
        </w:tc>
        <w:tc>
          <w:tcPr>
            <w:tcW w:w="1739" w:type="dxa"/>
          </w:tcPr>
          <w:p w:rsidR="00F07968" w:rsidRDefault="00F07968" w:rsidP="00197EFC">
            <w:pPr>
              <w:rPr>
                <w:rFonts w:ascii="Arial" w:hAnsi="Arial" w:cs="Arial"/>
                <w:sz w:val="20"/>
                <w:szCs w:val="20"/>
              </w:rPr>
            </w:pPr>
            <w:r>
              <w:rPr>
                <w:rFonts w:ascii="Arial" w:hAnsi="Arial" w:cs="Arial"/>
                <w:sz w:val="20"/>
                <w:szCs w:val="20"/>
              </w:rPr>
              <w:t xml:space="preserve">1 (Enzymes and Introduction to Metabolism) </w:t>
            </w:r>
          </w:p>
        </w:tc>
        <w:tc>
          <w:tcPr>
            <w:tcW w:w="6131" w:type="dxa"/>
          </w:tcPr>
          <w:p w:rsidR="00F07968" w:rsidRDefault="00F07968" w:rsidP="00362BF5">
            <w:pPr>
              <w:rPr>
                <w:rFonts w:ascii="Arial" w:hAnsi="Arial" w:cs="Arial"/>
                <w:sz w:val="20"/>
                <w:szCs w:val="20"/>
              </w:rPr>
            </w:pPr>
            <w:r>
              <w:rPr>
                <w:rFonts w:ascii="Arial" w:hAnsi="Arial" w:cs="Arial"/>
                <w:sz w:val="20"/>
                <w:szCs w:val="20"/>
              </w:rPr>
              <w:t xml:space="preserve">-The difference between exergonic and endergonic reactions and how these relate to anabolic and catabolic pathways </w:t>
            </w:r>
          </w:p>
          <w:p w:rsidR="00F07968" w:rsidRDefault="00F07968" w:rsidP="00362BF5">
            <w:pPr>
              <w:rPr>
                <w:rFonts w:ascii="Arial" w:hAnsi="Arial" w:cs="Arial"/>
                <w:sz w:val="20"/>
                <w:szCs w:val="20"/>
              </w:rPr>
            </w:pPr>
            <w:r>
              <w:rPr>
                <w:rFonts w:ascii="Arial" w:hAnsi="Arial" w:cs="Arial"/>
                <w:sz w:val="20"/>
                <w:szCs w:val="20"/>
              </w:rPr>
              <w:t xml:space="preserve">-The mechanism of enzyme action (lowering activation energy for a reaction) </w:t>
            </w:r>
          </w:p>
          <w:p w:rsidR="00F07968" w:rsidRDefault="00F07968" w:rsidP="00362BF5">
            <w:pPr>
              <w:rPr>
                <w:rFonts w:ascii="Arial" w:hAnsi="Arial" w:cs="Arial"/>
                <w:sz w:val="20"/>
                <w:szCs w:val="20"/>
              </w:rPr>
            </w:pPr>
            <w:r>
              <w:rPr>
                <w:rFonts w:ascii="Arial" w:hAnsi="Arial" w:cs="Arial"/>
                <w:sz w:val="20"/>
                <w:szCs w:val="20"/>
              </w:rPr>
              <w:t xml:space="preserve">-How factors like temperature, pH, and concentrations of substrate and enzyme molecules affect the rate of reaction </w:t>
            </w:r>
          </w:p>
          <w:p w:rsidR="00F07968" w:rsidRDefault="00F07968" w:rsidP="00362BF5">
            <w:pPr>
              <w:rPr>
                <w:rFonts w:ascii="Arial" w:hAnsi="Arial" w:cs="Arial"/>
                <w:sz w:val="20"/>
                <w:szCs w:val="20"/>
              </w:rPr>
            </w:pPr>
            <w:r>
              <w:rPr>
                <w:rFonts w:ascii="Arial" w:hAnsi="Arial" w:cs="Arial"/>
                <w:sz w:val="20"/>
                <w:szCs w:val="20"/>
              </w:rPr>
              <w:t>***There are graphs associated with each of these concepts***</w:t>
            </w:r>
          </w:p>
          <w:p w:rsidR="00F07968" w:rsidRDefault="00F07968" w:rsidP="00362BF5">
            <w:pPr>
              <w:rPr>
                <w:rFonts w:ascii="Arial" w:hAnsi="Arial" w:cs="Arial"/>
                <w:sz w:val="20"/>
                <w:szCs w:val="20"/>
              </w:rPr>
            </w:pPr>
            <w:r>
              <w:rPr>
                <w:rFonts w:ascii="Arial" w:hAnsi="Arial" w:cs="Arial"/>
                <w:sz w:val="20"/>
                <w:szCs w:val="20"/>
              </w:rPr>
              <w:t xml:space="preserve">-How enzymes interact with substrates (i.e. induced fit model) </w:t>
            </w:r>
          </w:p>
          <w:p w:rsidR="00A110E5" w:rsidRDefault="00A110E5" w:rsidP="00362BF5">
            <w:pPr>
              <w:rPr>
                <w:rFonts w:ascii="Arial" w:hAnsi="Arial" w:cs="Arial"/>
                <w:sz w:val="20"/>
                <w:szCs w:val="20"/>
              </w:rPr>
            </w:pPr>
            <w:r>
              <w:rPr>
                <w:rFonts w:ascii="Arial" w:hAnsi="Arial" w:cs="Arial"/>
                <w:sz w:val="20"/>
                <w:szCs w:val="20"/>
              </w:rPr>
              <w:t xml:space="preserve">-How enzyme activity can be regulated with competitive and noncompetitive inhibitors </w:t>
            </w:r>
          </w:p>
          <w:p w:rsidR="00A110E5" w:rsidRDefault="00A110E5" w:rsidP="00362BF5">
            <w:pPr>
              <w:rPr>
                <w:rFonts w:ascii="Arial" w:hAnsi="Arial" w:cs="Arial"/>
                <w:sz w:val="20"/>
                <w:szCs w:val="20"/>
              </w:rPr>
            </w:pPr>
            <w:r>
              <w:rPr>
                <w:rFonts w:ascii="Arial" w:hAnsi="Arial" w:cs="Arial"/>
                <w:sz w:val="20"/>
                <w:szCs w:val="20"/>
              </w:rPr>
              <w:t xml:space="preserve">-How enzyme activity can be regulated using allosteric regulation (includes noncompetitive inhibitors) </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rsidP="00197EFC">
            <w:pPr>
              <w:rPr>
                <w:rFonts w:ascii="Arial" w:hAnsi="Arial" w:cs="Arial"/>
                <w:sz w:val="20"/>
                <w:szCs w:val="20"/>
              </w:rPr>
            </w:pPr>
            <w:r>
              <w:rPr>
                <w:rFonts w:ascii="Arial" w:hAnsi="Arial" w:cs="Arial"/>
                <w:sz w:val="20"/>
                <w:szCs w:val="20"/>
              </w:rPr>
              <w:t>2 (Aerobic Cell Respiration)</w:t>
            </w:r>
          </w:p>
        </w:tc>
        <w:tc>
          <w:tcPr>
            <w:tcW w:w="6131" w:type="dxa"/>
          </w:tcPr>
          <w:p w:rsidR="00C24066" w:rsidRDefault="00C24066" w:rsidP="00362BF5">
            <w:pPr>
              <w:rPr>
                <w:rFonts w:ascii="Arial" w:hAnsi="Arial" w:cs="Arial"/>
                <w:sz w:val="20"/>
                <w:szCs w:val="20"/>
              </w:rPr>
            </w:pPr>
            <w:r w:rsidRPr="00A110E5">
              <w:rPr>
                <w:rFonts w:ascii="Arial" w:hAnsi="Arial" w:cs="Arial"/>
                <w:sz w:val="20"/>
                <w:szCs w:val="20"/>
                <w:highlight w:val="lightGray"/>
              </w:rPr>
              <w:t>-The “Breaking Down the Steps of Cellular Respiration” chart (see Wiki page)</w:t>
            </w:r>
          </w:p>
        </w:tc>
      </w:tr>
      <w:tr w:rsidR="00F07968" w:rsidTr="004729DC">
        <w:tc>
          <w:tcPr>
            <w:tcW w:w="1706" w:type="dxa"/>
            <w:vMerge/>
          </w:tcPr>
          <w:p w:rsidR="00F07968" w:rsidRDefault="00F07968" w:rsidP="00197EFC">
            <w:pPr>
              <w:rPr>
                <w:rFonts w:ascii="Arial" w:hAnsi="Arial" w:cs="Arial"/>
                <w:sz w:val="20"/>
                <w:szCs w:val="20"/>
              </w:rPr>
            </w:pPr>
          </w:p>
        </w:tc>
        <w:tc>
          <w:tcPr>
            <w:tcW w:w="1739" w:type="dxa"/>
          </w:tcPr>
          <w:p w:rsidR="00F07968" w:rsidRDefault="00F07968" w:rsidP="00197EFC">
            <w:pPr>
              <w:rPr>
                <w:rFonts w:ascii="Arial" w:hAnsi="Arial" w:cs="Arial"/>
                <w:sz w:val="20"/>
                <w:szCs w:val="20"/>
              </w:rPr>
            </w:pPr>
            <w:r>
              <w:rPr>
                <w:rFonts w:ascii="Arial" w:hAnsi="Arial" w:cs="Arial"/>
                <w:sz w:val="20"/>
                <w:szCs w:val="20"/>
              </w:rPr>
              <w:t xml:space="preserve">3 (Anaerobic Cell Respiration) </w:t>
            </w:r>
          </w:p>
        </w:tc>
        <w:tc>
          <w:tcPr>
            <w:tcW w:w="6131" w:type="dxa"/>
          </w:tcPr>
          <w:p w:rsidR="00F07968" w:rsidRDefault="00C24066" w:rsidP="00362BF5">
            <w:pPr>
              <w:rPr>
                <w:rFonts w:ascii="Arial" w:hAnsi="Arial" w:cs="Arial"/>
                <w:sz w:val="20"/>
                <w:szCs w:val="20"/>
              </w:rPr>
            </w:pPr>
            <w:r>
              <w:rPr>
                <w:rFonts w:ascii="Arial" w:hAnsi="Arial" w:cs="Arial"/>
                <w:sz w:val="20"/>
                <w:szCs w:val="20"/>
              </w:rPr>
              <w:t>-The steps involved in anaerobic respiration (aka fermentation) and the difference between the two types of anaerobic respiration (i.e. lactic acid fermentation and alcoholic fermentation)</w:t>
            </w:r>
          </w:p>
        </w:tc>
      </w:tr>
      <w:tr w:rsidR="00C24066" w:rsidTr="004729DC">
        <w:tc>
          <w:tcPr>
            <w:tcW w:w="1706" w:type="dxa"/>
            <w:vMerge w:val="restart"/>
          </w:tcPr>
          <w:p w:rsidR="00C24066" w:rsidRDefault="00C24066" w:rsidP="00197EFC">
            <w:pPr>
              <w:rPr>
                <w:rFonts w:ascii="Arial" w:hAnsi="Arial" w:cs="Arial"/>
                <w:sz w:val="20"/>
                <w:szCs w:val="20"/>
              </w:rPr>
            </w:pPr>
            <w:r>
              <w:rPr>
                <w:rFonts w:ascii="Arial" w:hAnsi="Arial" w:cs="Arial"/>
                <w:sz w:val="20"/>
                <w:szCs w:val="20"/>
              </w:rPr>
              <w:t>7 (Photosynthesis)</w:t>
            </w:r>
          </w:p>
        </w:tc>
        <w:tc>
          <w:tcPr>
            <w:tcW w:w="1739" w:type="dxa"/>
          </w:tcPr>
          <w:p w:rsidR="00C24066" w:rsidRDefault="00C24066" w:rsidP="00197EFC">
            <w:pPr>
              <w:rPr>
                <w:rFonts w:ascii="Arial" w:hAnsi="Arial" w:cs="Arial"/>
                <w:sz w:val="20"/>
                <w:szCs w:val="20"/>
              </w:rPr>
            </w:pPr>
            <w:r>
              <w:rPr>
                <w:rFonts w:ascii="Arial" w:hAnsi="Arial" w:cs="Arial"/>
                <w:sz w:val="20"/>
                <w:szCs w:val="20"/>
              </w:rPr>
              <w:t xml:space="preserve">1 (The Light Reactions) </w:t>
            </w:r>
          </w:p>
        </w:tc>
        <w:tc>
          <w:tcPr>
            <w:tcW w:w="6131" w:type="dxa"/>
          </w:tcPr>
          <w:p w:rsidR="00C24066" w:rsidRDefault="00C24066" w:rsidP="00362BF5">
            <w:pPr>
              <w:rPr>
                <w:rFonts w:ascii="Arial" w:hAnsi="Arial" w:cs="Arial"/>
                <w:sz w:val="20"/>
                <w:szCs w:val="20"/>
              </w:rPr>
            </w:pPr>
            <w:r w:rsidRPr="00A110E5">
              <w:rPr>
                <w:rFonts w:ascii="Arial" w:hAnsi="Arial" w:cs="Arial"/>
                <w:sz w:val="20"/>
                <w:szCs w:val="20"/>
                <w:highlight w:val="lightGray"/>
              </w:rPr>
              <w:t>-How electron transport chains are used during the light reactions</w:t>
            </w:r>
          </w:p>
          <w:p w:rsidR="00C24066" w:rsidRDefault="00C24066" w:rsidP="00362BF5">
            <w:pPr>
              <w:rPr>
                <w:rFonts w:ascii="Arial" w:hAnsi="Arial" w:cs="Arial"/>
                <w:sz w:val="20"/>
                <w:szCs w:val="20"/>
              </w:rPr>
            </w:pPr>
            <w:r>
              <w:rPr>
                <w:rFonts w:ascii="Arial" w:hAnsi="Arial" w:cs="Arial"/>
                <w:sz w:val="20"/>
                <w:szCs w:val="20"/>
              </w:rPr>
              <w:t>-The difference between cyclic and noncyclic electron flow</w:t>
            </w:r>
          </w:p>
          <w:p w:rsidR="00C24066" w:rsidRDefault="00C24066" w:rsidP="00362BF5">
            <w:pPr>
              <w:rPr>
                <w:rFonts w:ascii="Arial" w:hAnsi="Arial" w:cs="Arial"/>
                <w:sz w:val="20"/>
                <w:szCs w:val="20"/>
              </w:rPr>
            </w:pPr>
            <w:r w:rsidRPr="00A110E5">
              <w:rPr>
                <w:rFonts w:ascii="Arial" w:hAnsi="Arial" w:cs="Arial"/>
                <w:sz w:val="20"/>
                <w:szCs w:val="20"/>
                <w:highlight w:val="lightGray"/>
              </w:rPr>
              <w:t>-The “Breaking Down the Steps of Photosynthesis” chart (see Wiki page)</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197EFC">
            <w:pPr>
              <w:rPr>
                <w:rFonts w:ascii="Arial" w:hAnsi="Arial" w:cs="Arial"/>
                <w:sz w:val="20"/>
                <w:szCs w:val="20"/>
              </w:rPr>
            </w:pPr>
            <w:r>
              <w:rPr>
                <w:rFonts w:ascii="Arial" w:hAnsi="Arial" w:cs="Arial"/>
                <w:sz w:val="20"/>
                <w:szCs w:val="20"/>
              </w:rPr>
              <w:t>2 (The Calvin Cycle)</w:t>
            </w:r>
          </w:p>
        </w:tc>
        <w:tc>
          <w:tcPr>
            <w:tcW w:w="6131" w:type="dxa"/>
          </w:tcPr>
          <w:p w:rsidR="00C24066" w:rsidRDefault="00C24066" w:rsidP="00362BF5">
            <w:pPr>
              <w:rPr>
                <w:rFonts w:ascii="Arial" w:hAnsi="Arial" w:cs="Arial"/>
                <w:sz w:val="20"/>
                <w:szCs w:val="20"/>
              </w:rPr>
            </w:pPr>
            <w:r>
              <w:rPr>
                <w:rFonts w:ascii="Arial" w:hAnsi="Arial" w:cs="Arial"/>
                <w:sz w:val="20"/>
                <w:szCs w:val="20"/>
              </w:rPr>
              <w:t>-The connection between the light and dark reactions (i.e. NADPH and ATP)</w:t>
            </w:r>
          </w:p>
          <w:p w:rsidR="00C24066" w:rsidRDefault="00C24066" w:rsidP="00362BF5">
            <w:pPr>
              <w:rPr>
                <w:rFonts w:ascii="Arial" w:hAnsi="Arial" w:cs="Arial"/>
                <w:sz w:val="20"/>
                <w:szCs w:val="20"/>
              </w:rPr>
            </w:pPr>
            <w:r>
              <w:rPr>
                <w:rFonts w:ascii="Arial" w:hAnsi="Arial" w:cs="Arial"/>
                <w:sz w:val="20"/>
                <w:szCs w:val="20"/>
              </w:rPr>
              <w:t>-The definition of photorespiration and how C4 and CAM plants minimize photorespiration</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197EFC">
            <w:pPr>
              <w:rPr>
                <w:rFonts w:ascii="Arial" w:hAnsi="Arial" w:cs="Arial"/>
                <w:sz w:val="20"/>
                <w:szCs w:val="20"/>
              </w:rPr>
            </w:pPr>
            <w:r>
              <w:rPr>
                <w:rFonts w:ascii="Arial" w:hAnsi="Arial" w:cs="Arial"/>
                <w:sz w:val="20"/>
                <w:szCs w:val="20"/>
              </w:rPr>
              <w:t xml:space="preserve">3 (Comparing Photosynthesis and Cellular Respiration) </w:t>
            </w:r>
          </w:p>
        </w:tc>
        <w:tc>
          <w:tcPr>
            <w:tcW w:w="6131" w:type="dxa"/>
          </w:tcPr>
          <w:p w:rsidR="00C24066" w:rsidRDefault="00C24066" w:rsidP="00362BF5">
            <w:pPr>
              <w:rPr>
                <w:rFonts w:ascii="Arial" w:hAnsi="Arial" w:cs="Arial"/>
                <w:sz w:val="20"/>
                <w:szCs w:val="20"/>
              </w:rPr>
            </w:pPr>
            <w:r>
              <w:rPr>
                <w:rFonts w:ascii="Arial" w:hAnsi="Arial" w:cs="Arial"/>
                <w:sz w:val="20"/>
                <w:szCs w:val="20"/>
              </w:rPr>
              <w:t>-The types of organisms that use cellular respiration and/or photosynthesis</w:t>
            </w:r>
          </w:p>
          <w:p w:rsidR="00C24066" w:rsidRDefault="00C24066" w:rsidP="00C24066">
            <w:pPr>
              <w:rPr>
                <w:rFonts w:ascii="Arial" w:hAnsi="Arial" w:cs="Arial"/>
                <w:sz w:val="20"/>
                <w:szCs w:val="20"/>
              </w:rPr>
            </w:pPr>
            <w:r>
              <w:rPr>
                <w:rFonts w:ascii="Arial" w:hAnsi="Arial" w:cs="Arial"/>
                <w:sz w:val="20"/>
                <w:szCs w:val="20"/>
              </w:rPr>
              <w:t xml:space="preserve">-The similarities and differences between the electron transport chains in chloroplasts and mitochondria </w:t>
            </w:r>
          </w:p>
        </w:tc>
      </w:tr>
      <w:tr w:rsidR="00C24066" w:rsidTr="004729DC">
        <w:tc>
          <w:tcPr>
            <w:tcW w:w="1706" w:type="dxa"/>
            <w:vMerge w:val="restart"/>
          </w:tcPr>
          <w:p w:rsidR="00C24066" w:rsidRDefault="00C24066" w:rsidP="00197EFC">
            <w:pPr>
              <w:rPr>
                <w:rFonts w:ascii="Arial" w:hAnsi="Arial" w:cs="Arial"/>
                <w:sz w:val="20"/>
                <w:szCs w:val="20"/>
              </w:rPr>
            </w:pPr>
            <w:r>
              <w:rPr>
                <w:rFonts w:ascii="Arial" w:hAnsi="Arial" w:cs="Arial"/>
                <w:sz w:val="20"/>
                <w:szCs w:val="20"/>
              </w:rPr>
              <w:t xml:space="preserve">8 (Cell Division) </w:t>
            </w:r>
          </w:p>
        </w:tc>
        <w:tc>
          <w:tcPr>
            <w:tcW w:w="1739" w:type="dxa"/>
          </w:tcPr>
          <w:p w:rsidR="00C24066" w:rsidRDefault="00C24066" w:rsidP="00C24066">
            <w:pPr>
              <w:rPr>
                <w:rFonts w:ascii="Arial" w:hAnsi="Arial" w:cs="Arial"/>
                <w:sz w:val="20"/>
                <w:szCs w:val="20"/>
              </w:rPr>
            </w:pPr>
            <w:r>
              <w:rPr>
                <w:rFonts w:ascii="Arial" w:hAnsi="Arial" w:cs="Arial"/>
                <w:sz w:val="20"/>
                <w:szCs w:val="20"/>
              </w:rPr>
              <w:t>1 (The Cell Cycle and Mitosis)</w:t>
            </w:r>
          </w:p>
        </w:tc>
        <w:tc>
          <w:tcPr>
            <w:tcW w:w="6131" w:type="dxa"/>
          </w:tcPr>
          <w:p w:rsidR="00C24066" w:rsidRDefault="00C24066" w:rsidP="00362BF5">
            <w:pPr>
              <w:rPr>
                <w:rFonts w:ascii="Arial" w:hAnsi="Arial" w:cs="Arial"/>
                <w:sz w:val="20"/>
                <w:szCs w:val="20"/>
              </w:rPr>
            </w:pPr>
            <w:r>
              <w:rPr>
                <w:rFonts w:ascii="Arial" w:hAnsi="Arial" w:cs="Arial"/>
                <w:sz w:val="20"/>
                <w:szCs w:val="20"/>
              </w:rPr>
              <w:t>-The events of the cell cycle and mitosis</w:t>
            </w:r>
          </w:p>
          <w:p w:rsidR="00C24066" w:rsidRDefault="00C24066" w:rsidP="00362BF5">
            <w:pPr>
              <w:rPr>
                <w:rFonts w:ascii="Arial" w:hAnsi="Arial" w:cs="Arial"/>
                <w:sz w:val="20"/>
                <w:szCs w:val="20"/>
              </w:rPr>
            </w:pPr>
            <w:r>
              <w:rPr>
                <w:rFonts w:ascii="Arial" w:hAnsi="Arial" w:cs="Arial"/>
                <w:sz w:val="20"/>
                <w:szCs w:val="20"/>
              </w:rPr>
              <w:t>-The differences between mitosis in eukaryotic cells and binary fission in prokaryotic cells</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2 (Meiosis)</w:t>
            </w:r>
          </w:p>
        </w:tc>
        <w:tc>
          <w:tcPr>
            <w:tcW w:w="6131" w:type="dxa"/>
          </w:tcPr>
          <w:p w:rsidR="00C24066" w:rsidRDefault="00C24066" w:rsidP="00362BF5">
            <w:pPr>
              <w:rPr>
                <w:rFonts w:ascii="Arial" w:hAnsi="Arial" w:cs="Arial"/>
                <w:sz w:val="20"/>
                <w:szCs w:val="20"/>
              </w:rPr>
            </w:pPr>
            <w:r>
              <w:rPr>
                <w:rFonts w:ascii="Arial" w:hAnsi="Arial" w:cs="Arial"/>
                <w:sz w:val="20"/>
                <w:szCs w:val="20"/>
              </w:rPr>
              <w:t>-The events of meiosis I and II</w:t>
            </w:r>
          </w:p>
          <w:p w:rsidR="00C24066" w:rsidRDefault="00C24066" w:rsidP="00362BF5">
            <w:pPr>
              <w:rPr>
                <w:rFonts w:ascii="Arial" w:hAnsi="Arial" w:cs="Arial"/>
                <w:sz w:val="20"/>
                <w:szCs w:val="20"/>
              </w:rPr>
            </w:pPr>
            <w:r w:rsidRPr="00A110E5">
              <w:rPr>
                <w:rFonts w:ascii="Arial" w:hAnsi="Arial" w:cs="Arial"/>
                <w:sz w:val="20"/>
                <w:szCs w:val="20"/>
                <w:highlight w:val="lightGray"/>
              </w:rPr>
              <w:t>-The similarities and differences between mitosis, meiosis I, and meiosis II</w:t>
            </w:r>
          </w:p>
          <w:p w:rsidR="00C24066" w:rsidRDefault="00C24066" w:rsidP="00362BF5">
            <w:pPr>
              <w:rPr>
                <w:rFonts w:ascii="Arial" w:hAnsi="Arial" w:cs="Arial"/>
                <w:sz w:val="20"/>
                <w:szCs w:val="20"/>
              </w:rPr>
            </w:pPr>
            <w:r>
              <w:rPr>
                <w:rFonts w:ascii="Arial" w:hAnsi="Arial" w:cs="Arial"/>
                <w:sz w:val="20"/>
                <w:szCs w:val="20"/>
              </w:rPr>
              <w:t>-The differences between oogenesis and spermatogenesis</w:t>
            </w:r>
          </w:p>
          <w:p w:rsidR="00C24066" w:rsidRDefault="00C24066" w:rsidP="00362BF5">
            <w:pPr>
              <w:rPr>
                <w:rFonts w:ascii="Arial" w:hAnsi="Arial" w:cs="Arial"/>
                <w:sz w:val="20"/>
                <w:szCs w:val="20"/>
              </w:rPr>
            </w:pPr>
            <w:r>
              <w:rPr>
                <w:rFonts w:ascii="Arial" w:hAnsi="Arial" w:cs="Arial"/>
                <w:sz w:val="20"/>
                <w:szCs w:val="20"/>
              </w:rPr>
              <w:t>-The advantages of using sexual reproduction vs. asexual reproduction</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 xml:space="preserve">3 (Cell Cycle Regulation) </w:t>
            </w:r>
          </w:p>
        </w:tc>
        <w:tc>
          <w:tcPr>
            <w:tcW w:w="6131" w:type="dxa"/>
          </w:tcPr>
          <w:p w:rsidR="00C24066" w:rsidRDefault="00C24066" w:rsidP="00C24066">
            <w:pPr>
              <w:rPr>
                <w:rFonts w:ascii="Arial" w:hAnsi="Arial" w:cs="Arial"/>
                <w:sz w:val="20"/>
                <w:szCs w:val="20"/>
              </w:rPr>
            </w:pPr>
            <w:r>
              <w:rPr>
                <w:rFonts w:ascii="Arial" w:hAnsi="Arial" w:cs="Arial"/>
                <w:sz w:val="20"/>
                <w:szCs w:val="20"/>
              </w:rPr>
              <w:t>-The timing of the three different checkpoints in the cell cycle</w:t>
            </w:r>
          </w:p>
          <w:p w:rsidR="00C24066" w:rsidRDefault="00C24066" w:rsidP="00C24066">
            <w:pPr>
              <w:rPr>
                <w:rFonts w:ascii="Arial" w:hAnsi="Arial" w:cs="Arial"/>
                <w:sz w:val="20"/>
                <w:szCs w:val="20"/>
              </w:rPr>
            </w:pPr>
            <w:r>
              <w:rPr>
                <w:rFonts w:ascii="Arial" w:hAnsi="Arial" w:cs="Arial"/>
                <w:sz w:val="20"/>
                <w:szCs w:val="20"/>
              </w:rPr>
              <w:t xml:space="preserve">-The interaction between </w:t>
            </w:r>
            <w:proofErr w:type="spellStart"/>
            <w:r>
              <w:rPr>
                <w:rFonts w:ascii="Arial" w:hAnsi="Arial" w:cs="Arial"/>
                <w:sz w:val="20"/>
                <w:szCs w:val="20"/>
              </w:rPr>
              <w:t>cyclins</w:t>
            </w:r>
            <w:proofErr w:type="spellEnd"/>
            <w:r>
              <w:rPr>
                <w:rFonts w:ascii="Arial" w:hAnsi="Arial" w:cs="Arial"/>
                <w:sz w:val="20"/>
                <w:szCs w:val="20"/>
              </w:rPr>
              <w:t xml:space="preserve"> and </w:t>
            </w:r>
            <w:proofErr w:type="spellStart"/>
            <w:r>
              <w:rPr>
                <w:rFonts w:ascii="Arial" w:hAnsi="Arial" w:cs="Arial"/>
                <w:sz w:val="20"/>
                <w:szCs w:val="20"/>
              </w:rPr>
              <w:t>CdK’s</w:t>
            </w:r>
            <w:proofErr w:type="spellEnd"/>
            <w:r>
              <w:rPr>
                <w:rFonts w:ascii="Arial" w:hAnsi="Arial" w:cs="Arial"/>
                <w:sz w:val="20"/>
                <w:szCs w:val="20"/>
              </w:rPr>
              <w:t xml:space="preserve"> in regulating the cell cycle</w:t>
            </w:r>
          </w:p>
        </w:tc>
      </w:tr>
      <w:tr w:rsidR="00C24066" w:rsidTr="004729DC">
        <w:tc>
          <w:tcPr>
            <w:tcW w:w="1706" w:type="dxa"/>
            <w:vMerge w:val="restart"/>
          </w:tcPr>
          <w:p w:rsidR="00C24066" w:rsidRDefault="00C24066" w:rsidP="00197EFC">
            <w:pPr>
              <w:rPr>
                <w:rFonts w:ascii="Arial" w:hAnsi="Arial" w:cs="Arial"/>
                <w:sz w:val="20"/>
                <w:szCs w:val="20"/>
              </w:rPr>
            </w:pPr>
            <w:r>
              <w:rPr>
                <w:rFonts w:ascii="Arial" w:hAnsi="Arial" w:cs="Arial"/>
                <w:sz w:val="20"/>
                <w:szCs w:val="20"/>
              </w:rPr>
              <w:t xml:space="preserve">9 (Cell </w:t>
            </w:r>
            <w:r>
              <w:rPr>
                <w:rFonts w:ascii="Arial" w:hAnsi="Arial" w:cs="Arial"/>
                <w:sz w:val="20"/>
                <w:szCs w:val="20"/>
              </w:rPr>
              <w:lastRenderedPageBreak/>
              <w:t xml:space="preserve">Signaling) </w:t>
            </w:r>
          </w:p>
        </w:tc>
        <w:tc>
          <w:tcPr>
            <w:tcW w:w="1739" w:type="dxa"/>
          </w:tcPr>
          <w:p w:rsidR="00C24066" w:rsidRDefault="00C24066" w:rsidP="00C24066">
            <w:pPr>
              <w:rPr>
                <w:rFonts w:ascii="Arial" w:hAnsi="Arial" w:cs="Arial"/>
                <w:sz w:val="20"/>
                <w:szCs w:val="20"/>
              </w:rPr>
            </w:pPr>
            <w:r>
              <w:rPr>
                <w:rFonts w:ascii="Arial" w:hAnsi="Arial" w:cs="Arial"/>
                <w:sz w:val="20"/>
                <w:szCs w:val="20"/>
              </w:rPr>
              <w:lastRenderedPageBreak/>
              <w:t xml:space="preserve">1 (Basics of Cell </w:t>
            </w:r>
            <w:r>
              <w:rPr>
                <w:rFonts w:ascii="Arial" w:hAnsi="Arial" w:cs="Arial"/>
                <w:sz w:val="20"/>
                <w:szCs w:val="20"/>
              </w:rPr>
              <w:lastRenderedPageBreak/>
              <w:t>Signaling)</w:t>
            </w:r>
          </w:p>
        </w:tc>
        <w:tc>
          <w:tcPr>
            <w:tcW w:w="6131" w:type="dxa"/>
          </w:tcPr>
          <w:p w:rsidR="00C24066" w:rsidRDefault="00C24066" w:rsidP="00C24066">
            <w:pPr>
              <w:rPr>
                <w:rFonts w:ascii="Arial" w:hAnsi="Arial" w:cs="Arial"/>
                <w:sz w:val="20"/>
                <w:szCs w:val="20"/>
              </w:rPr>
            </w:pPr>
            <w:r>
              <w:rPr>
                <w:rFonts w:ascii="Arial" w:hAnsi="Arial" w:cs="Arial"/>
                <w:sz w:val="20"/>
                <w:szCs w:val="20"/>
              </w:rPr>
              <w:lastRenderedPageBreak/>
              <w:t xml:space="preserve">-The events of the three steps in cell signaling—reception, </w:t>
            </w:r>
            <w:r>
              <w:rPr>
                <w:rFonts w:ascii="Arial" w:hAnsi="Arial" w:cs="Arial"/>
                <w:sz w:val="20"/>
                <w:szCs w:val="20"/>
              </w:rPr>
              <w:lastRenderedPageBreak/>
              <w:t>transduction, and response—and the molecules involved in each step</w:t>
            </w:r>
          </w:p>
          <w:p w:rsidR="00C24066" w:rsidRDefault="00C24066" w:rsidP="00C24066">
            <w:pPr>
              <w:rPr>
                <w:rFonts w:ascii="Arial" w:hAnsi="Arial" w:cs="Arial"/>
                <w:sz w:val="20"/>
                <w:szCs w:val="20"/>
              </w:rPr>
            </w:pPr>
            <w:r>
              <w:rPr>
                <w:rFonts w:ascii="Arial" w:hAnsi="Arial" w:cs="Arial"/>
                <w:sz w:val="20"/>
                <w:szCs w:val="20"/>
              </w:rPr>
              <w:t xml:space="preserve">-Quorum sensing in bacteria </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2 (The Nervous System)</w:t>
            </w:r>
          </w:p>
        </w:tc>
        <w:tc>
          <w:tcPr>
            <w:tcW w:w="6131" w:type="dxa"/>
          </w:tcPr>
          <w:p w:rsidR="00C24066" w:rsidRDefault="00C24066" w:rsidP="00C24066">
            <w:pPr>
              <w:rPr>
                <w:rFonts w:ascii="Arial" w:hAnsi="Arial" w:cs="Arial"/>
                <w:sz w:val="20"/>
                <w:szCs w:val="20"/>
              </w:rPr>
            </w:pPr>
            <w:r w:rsidRPr="00A110E5">
              <w:rPr>
                <w:rFonts w:ascii="Arial" w:hAnsi="Arial" w:cs="Arial"/>
                <w:sz w:val="20"/>
                <w:szCs w:val="20"/>
                <w:highlight w:val="lightGray"/>
              </w:rPr>
              <w:t>-The steps of an action potential and the transmission of a signal across a synapse</w:t>
            </w:r>
          </w:p>
          <w:p w:rsidR="00C24066" w:rsidRDefault="00C24066" w:rsidP="00C24066">
            <w:pPr>
              <w:rPr>
                <w:rFonts w:ascii="Arial" w:hAnsi="Arial" w:cs="Arial"/>
                <w:sz w:val="20"/>
                <w:szCs w:val="20"/>
              </w:rPr>
            </w:pPr>
            <w:r>
              <w:rPr>
                <w:rFonts w:ascii="Arial" w:hAnsi="Arial" w:cs="Arial"/>
                <w:sz w:val="20"/>
                <w:szCs w:val="20"/>
              </w:rPr>
              <w:t>-The structure of a neuron</w:t>
            </w:r>
          </w:p>
          <w:p w:rsidR="00C24066" w:rsidRDefault="00C24066" w:rsidP="00C24066">
            <w:pPr>
              <w:rPr>
                <w:rFonts w:ascii="Arial" w:hAnsi="Arial" w:cs="Arial"/>
                <w:sz w:val="20"/>
                <w:szCs w:val="20"/>
              </w:rPr>
            </w:pPr>
            <w:r>
              <w:rPr>
                <w:rFonts w:ascii="Arial" w:hAnsi="Arial" w:cs="Arial"/>
                <w:sz w:val="20"/>
                <w:szCs w:val="20"/>
              </w:rPr>
              <w:t>-How a reflex loop works</w:t>
            </w:r>
            <w:r w:rsidR="007A0058">
              <w:rPr>
                <w:rFonts w:ascii="Arial" w:hAnsi="Arial" w:cs="Arial"/>
                <w:sz w:val="20"/>
                <w:szCs w:val="20"/>
              </w:rPr>
              <w:t xml:space="preserve"> and the types of neurons involved in a reflex loop</w:t>
            </w:r>
          </w:p>
        </w:tc>
      </w:tr>
      <w:tr w:rsidR="00C24066" w:rsidTr="004729DC">
        <w:tc>
          <w:tcPr>
            <w:tcW w:w="1706" w:type="dxa"/>
            <w:vMerge/>
          </w:tcPr>
          <w:p w:rsidR="00C24066" w:rsidRDefault="00C24066" w:rsidP="00197EFC">
            <w:pPr>
              <w:rPr>
                <w:rFonts w:ascii="Arial" w:hAnsi="Arial" w:cs="Arial"/>
                <w:sz w:val="20"/>
                <w:szCs w:val="20"/>
              </w:rPr>
            </w:pPr>
          </w:p>
        </w:tc>
        <w:tc>
          <w:tcPr>
            <w:tcW w:w="1739" w:type="dxa"/>
          </w:tcPr>
          <w:p w:rsidR="00C24066" w:rsidRDefault="00C24066" w:rsidP="00C24066">
            <w:pPr>
              <w:rPr>
                <w:rFonts w:ascii="Arial" w:hAnsi="Arial" w:cs="Arial"/>
                <w:sz w:val="20"/>
                <w:szCs w:val="20"/>
              </w:rPr>
            </w:pPr>
            <w:r>
              <w:rPr>
                <w:rFonts w:ascii="Arial" w:hAnsi="Arial" w:cs="Arial"/>
                <w:sz w:val="20"/>
                <w:szCs w:val="20"/>
              </w:rPr>
              <w:t xml:space="preserve">3 (The Endocrine System) </w:t>
            </w:r>
          </w:p>
        </w:tc>
        <w:tc>
          <w:tcPr>
            <w:tcW w:w="6131" w:type="dxa"/>
          </w:tcPr>
          <w:p w:rsidR="00C24066" w:rsidRDefault="007A0058" w:rsidP="00C24066">
            <w:pPr>
              <w:rPr>
                <w:rFonts w:ascii="Arial" w:hAnsi="Arial" w:cs="Arial"/>
                <w:sz w:val="20"/>
                <w:szCs w:val="20"/>
              </w:rPr>
            </w:pPr>
            <w:r>
              <w:rPr>
                <w:rFonts w:ascii="Arial" w:hAnsi="Arial" w:cs="Arial"/>
                <w:sz w:val="20"/>
                <w:szCs w:val="20"/>
              </w:rPr>
              <w:t>-The difference between steroid and protein / amine hormones</w:t>
            </w:r>
          </w:p>
          <w:p w:rsidR="007A0058" w:rsidRDefault="007A0058" w:rsidP="00C24066">
            <w:pPr>
              <w:rPr>
                <w:rFonts w:ascii="Arial" w:hAnsi="Arial" w:cs="Arial"/>
                <w:sz w:val="20"/>
                <w:szCs w:val="20"/>
              </w:rPr>
            </w:pPr>
            <w:r>
              <w:rPr>
                <w:rFonts w:ascii="Arial" w:hAnsi="Arial" w:cs="Arial"/>
                <w:sz w:val="20"/>
                <w:szCs w:val="20"/>
              </w:rPr>
              <w:t>-The benefits and costs of using endocrine signaling vs. nerve signaling or signaling via direct physical contact</w:t>
            </w:r>
          </w:p>
          <w:p w:rsidR="007A0058" w:rsidRDefault="007A0058" w:rsidP="00C24066">
            <w:pPr>
              <w:rPr>
                <w:rFonts w:ascii="Arial" w:hAnsi="Arial" w:cs="Arial"/>
                <w:sz w:val="20"/>
                <w:szCs w:val="20"/>
              </w:rPr>
            </w:pPr>
            <w:r>
              <w:rPr>
                <w:rFonts w:ascii="Arial" w:hAnsi="Arial" w:cs="Arial"/>
                <w:sz w:val="20"/>
                <w:szCs w:val="20"/>
              </w:rPr>
              <w:t>-How negative and positive feedback are used in the endocrine system</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 xml:space="preserve">10 (Classical Genetics) </w:t>
            </w:r>
          </w:p>
        </w:tc>
        <w:tc>
          <w:tcPr>
            <w:tcW w:w="1739" w:type="dxa"/>
          </w:tcPr>
          <w:p w:rsidR="007A0058" w:rsidRDefault="007A0058" w:rsidP="00C24066">
            <w:pPr>
              <w:rPr>
                <w:rFonts w:ascii="Arial" w:hAnsi="Arial" w:cs="Arial"/>
                <w:sz w:val="20"/>
                <w:szCs w:val="20"/>
              </w:rPr>
            </w:pPr>
            <w:r>
              <w:rPr>
                <w:rFonts w:ascii="Arial" w:hAnsi="Arial" w:cs="Arial"/>
                <w:sz w:val="20"/>
                <w:szCs w:val="20"/>
              </w:rPr>
              <w:t>1 (Basic Mendelian Inheritance)</w:t>
            </w:r>
          </w:p>
        </w:tc>
        <w:tc>
          <w:tcPr>
            <w:tcW w:w="6131" w:type="dxa"/>
          </w:tcPr>
          <w:p w:rsidR="00AE2C6D" w:rsidRDefault="00AE2C6D" w:rsidP="00C24066">
            <w:pPr>
              <w:rPr>
                <w:rFonts w:ascii="Arial" w:hAnsi="Arial" w:cs="Arial"/>
                <w:sz w:val="20"/>
                <w:szCs w:val="20"/>
              </w:rPr>
            </w:pPr>
            <w:r>
              <w:rPr>
                <w:rFonts w:ascii="Arial" w:hAnsi="Arial" w:cs="Arial"/>
                <w:sz w:val="20"/>
                <w:szCs w:val="20"/>
              </w:rPr>
              <w:t>-How the Addition and Multiplication rules of Probability are used with Punnett Squares</w:t>
            </w:r>
          </w:p>
          <w:p w:rsidR="007A0058" w:rsidRDefault="00AE2C6D" w:rsidP="00C24066">
            <w:pPr>
              <w:rPr>
                <w:rFonts w:ascii="Arial" w:hAnsi="Arial" w:cs="Arial"/>
                <w:sz w:val="20"/>
                <w:szCs w:val="20"/>
              </w:rPr>
            </w:pPr>
            <w:r>
              <w:rPr>
                <w:rFonts w:ascii="Arial" w:hAnsi="Arial" w:cs="Arial"/>
                <w:sz w:val="20"/>
                <w:szCs w:val="20"/>
              </w:rPr>
              <w:t>-How to complete normal monohybrid crosses / Punnett squares associated with the following types of traits (incomplete dominance, codominance, sex-linkage)</w:t>
            </w:r>
          </w:p>
          <w:p w:rsidR="00AE2C6D" w:rsidRDefault="00AE2C6D" w:rsidP="00C24066">
            <w:pPr>
              <w:rPr>
                <w:rFonts w:ascii="Arial" w:hAnsi="Arial" w:cs="Arial"/>
                <w:sz w:val="20"/>
                <w:szCs w:val="20"/>
              </w:rPr>
            </w:pPr>
            <w:r>
              <w:rPr>
                <w:rFonts w:ascii="Arial" w:hAnsi="Arial" w:cs="Arial"/>
                <w:sz w:val="20"/>
                <w:szCs w:val="20"/>
              </w:rPr>
              <w:t>-How to complete dihybrid crosses / Punnett Squares</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(Human Genetics)</w:t>
            </w:r>
          </w:p>
        </w:tc>
        <w:tc>
          <w:tcPr>
            <w:tcW w:w="6131" w:type="dxa"/>
          </w:tcPr>
          <w:p w:rsidR="007A0058" w:rsidRDefault="00AE2C6D" w:rsidP="00AE2C6D">
            <w:pPr>
              <w:rPr>
                <w:rFonts w:ascii="Arial" w:hAnsi="Arial" w:cs="Arial"/>
                <w:sz w:val="20"/>
                <w:szCs w:val="20"/>
              </w:rPr>
            </w:pPr>
            <w:r>
              <w:rPr>
                <w:rFonts w:ascii="Arial" w:hAnsi="Arial" w:cs="Arial"/>
                <w:sz w:val="20"/>
                <w:szCs w:val="20"/>
              </w:rPr>
              <w:t>-How to complete blood type monohybrid crosses / Punnett squares</w:t>
            </w:r>
          </w:p>
          <w:p w:rsidR="00AE2C6D" w:rsidRDefault="00AE2C6D" w:rsidP="00AE2C6D">
            <w:pPr>
              <w:rPr>
                <w:rFonts w:ascii="Arial" w:hAnsi="Arial" w:cs="Arial"/>
                <w:sz w:val="20"/>
                <w:szCs w:val="20"/>
              </w:rPr>
            </w:pPr>
            <w:r>
              <w:rPr>
                <w:rFonts w:ascii="Arial" w:hAnsi="Arial" w:cs="Arial"/>
                <w:sz w:val="20"/>
                <w:szCs w:val="20"/>
              </w:rPr>
              <w:t xml:space="preserve">-The difference between </w:t>
            </w:r>
            <w:proofErr w:type="spellStart"/>
            <w:r>
              <w:rPr>
                <w:rFonts w:ascii="Arial" w:hAnsi="Arial" w:cs="Arial"/>
                <w:sz w:val="20"/>
                <w:szCs w:val="20"/>
              </w:rPr>
              <w:t>pleiotropy</w:t>
            </w:r>
            <w:proofErr w:type="spellEnd"/>
            <w:r>
              <w:rPr>
                <w:rFonts w:ascii="Arial" w:hAnsi="Arial" w:cs="Arial"/>
                <w:sz w:val="20"/>
                <w:szCs w:val="20"/>
              </w:rPr>
              <w:t xml:space="preserve"> and polygenic inheritance</w:t>
            </w:r>
          </w:p>
          <w:p w:rsidR="00AE2C6D" w:rsidRDefault="00AE2C6D" w:rsidP="00AE2C6D">
            <w:pPr>
              <w:rPr>
                <w:rFonts w:ascii="Arial" w:hAnsi="Arial" w:cs="Arial"/>
                <w:sz w:val="20"/>
                <w:szCs w:val="20"/>
              </w:rPr>
            </w:pPr>
            <w:r>
              <w:rPr>
                <w:rFonts w:ascii="Arial" w:hAnsi="Arial" w:cs="Arial"/>
                <w:sz w:val="20"/>
                <w:szCs w:val="20"/>
              </w:rPr>
              <w:t>-How phenotype can be influence by genes AND the environment</w:t>
            </w:r>
          </w:p>
          <w:p w:rsidR="00AE2C6D" w:rsidRDefault="00AE2C6D" w:rsidP="00AE2C6D">
            <w:pPr>
              <w:rPr>
                <w:rFonts w:ascii="Arial" w:hAnsi="Arial" w:cs="Arial"/>
                <w:sz w:val="20"/>
                <w:szCs w:val="20"/>
              </w:rPr>
            </w:pPr>
            <w:r>
              <w:rPr>
                <w:rFonts w:ascii="Arial" w:hAnsi="Arial" w:cs="Arial"/>
                <w:sz w:val="20"/>
                <w:szCs w:val="20"/>
              </w:rPr>
              <w:t>-How to analyze pedigrees to determine the type of inheritance shown—autosomal recessive, autosomal dominant, X-linked recessive, X-linked dominant, or Y-linked</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3 (Chromosomal Genetics) </w:t>
            </w:r>
          </w:p>
        </w:tc>
        <w:tc>
          <w:tcPr>
            <w:tcW w:w="6131" w:type="dxa"/>
          </w:tcPr>
          <w:p w:rsidR="007A0058" w:rsidRDefault="00AE2C6D" w:rsidP="00C24066">
            <w:pPr>
              <w:rPr>
                <w:rFonts w:ascii="Arial" w:hAnsi="Arial" w:cs="Arial"/>
                <w:sz w:val="20"/>
                <w:szCs w:val="20"/>
              </w:rPr>
            </w:pPr>
            <w:r>
              <w:rPr>
                <w:rFonts w:ascii="Arial" w:hAnsi="Arial" w:cs="Arial"/>
                <w:sz w:val="20"/>
                <w:szCs w:val="20"/>
              </w:rPr>
              <w:t>-Mendel’s Laws of Inheritance</w:t>
            </w:r>
          </w:p>
          <w:p w:rsidR="00AE2C6D" w:rsidRDefault="00AE2C6D" w:rsidP="00C24066">
            <w:pPr>
              <w:rPr>
                <w:rFonts w:ascii="Arial" w:hAnsi="Arial" w:cs="Arial"/>
                <w:sz w:val="20"/>
                <w:szCs w:val="20"/>
              </w:rPr>
            </w:pPr>
            <w:r>
              <w:rPr>
                <w:rFonts w:ascii="Arial" w:hAnsi="Arial" w:cs="Arial"/>
                <w:sz w:val="20"/>
                <w:szCs w:val="20"/>
              </w:rPr>
              <w:t>-How nondisjunction during meiosis results in aneuploidy</w:t>
            </w:r>
          </w:p>
          <w:p w:rsidR="00AE2C6D" w:rsidRDefault="00AE2C6D" w:rsidP="00C24066">
            <w:pPr>
              <w:rPr>
                <w:rFonts w:ascii="Arial" w:hAnsi="Arial" w:cs="Arial"/>
                <w:sz w:val="20"/>
                <w:szCs w:val="20"/>
              </w:rPr>
            </w:pPr>
            <w:r>
              <w:rPr>
                <w:rFonts w:ascii="Arial" w:hAnsi="Arial" w:cs="Arial"/>
                <w:sz w:val="20"/>
                <w:szCs w:val="20"/>
              </w:rPr>
              <w:t>-How offspring phenotype frequencies for linked genes differ from the frequencies for unlinked genes</w:t>
            </w:r>
          </w:p>
          <w:p w:rsidR="00AE2C6D" w:rsidRDefault="00AE2C6D" w:rsidP="00C24066">
            <w:pPr>
              <w:rPr>
                <w:rFonts w:ascii="Arial" w:hAnsi="Arial" w:cs="Arial"/>
                <w:sz w:val="20"/>
                <w:szCs w:val="20"/>
              </w:rPr>
            </w:pPr>
            <w:r>
              <w:rPr>
                <w:rFonts w:ascii="Arial" w:hAnsi="Arial" w:cs="Arial"/>
                <w:sz w:val="20"/>
                <w:szCs w:val="20"/>
              </w:rPr>
              <w:t>-How to construct a linkage map showing the locations of genes on a chromosome based on recombination frequencies or map units</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 xml:space="preserve">11 (Molecular Genetics) </w:t>
            </w:r>
          </w:p>
        </w:tc>
        <w:tc>
          <w:tcPr>
            <w:tcW w:w="1739" w:type="dxa"/>
          </w:tcPr>
          <w:p w:rsidR="007A0058" w:rsidRDefault="007A0058" w:rsidP="00C24066">
            <w:pPr>
              <w:rPr>
                <w:rFonts w:ascii="Arial" w:hAnsi="Arial" w:cs="Arial"/>
                <w:sz w:val="20"/>
                <w:szCs w:val="20"/>
              </w:rPr>
            </w:pPr>
            <w:r>
              <w:rPr>
                <w:rFonts w:ascii="Arial" w:hAnsi="Arial" w:cs="Arial"/>
                <w:sz w:val="20"/>
                <w:szCs w:val="20"/>
              </w:rPr>
              <w:t>1 (DNA)</w:t>
            </w:r>
          </w:p>
        </w:tc>
        <w:tc>
          <w:tcPr>
            <w:tcW w:w="6131" w:type="dxa"/>
          </w:tcPr>
          <w:p w:rsidR="007A0058" w:rsidRDefault="00144905" w:rsidP="00C24066">
            <w:pPr>
              <w:rPr>
                <w:rFonts w:ascii="Arial" w:hAnsi="Arial" w:cs="Arial"/>
                <w:sz w:val="20"/>
                <w:szCs w:val="20"/>
              </w:rPr>
            </w:pPr>
            <w:r>
              <w:rPr>
                <w:rFonts w:ascii="Arial" w:hAnsi="Arial" w:cs="Arial"/>
                <w:sz w:val="20"/>
                <w:szCs w:val="20"/>
              </w:rPr>
              <w:t xml:space="preserve">-The structure of DNA (esp. its antiparallel nature) </w:t>
            </w:r>
          </w:p>
          <w:p w:rsidR="00144905" w:rsidRDefault="00144905" w:rsidP="00C24066">
            <w:pPr>
              <w:rPr>
                <w:rFonts w:ascii="Arial" w:hAnsi="Arial" w:cs="Arial"/>
                <w:sz w:val="20"/>
                <w:szCs w:val="20"/>
              </w:rPr>
            </w:pPr>
            <w:r>
              <w:rPr>
                <w:rFonts w:ascii="Arial" w:hAnsi="Arial" w:cs="Arial"/>
                <w:sz w:val="20"/>
                <w:szCs w:val="20"/>
              </w:rPr>
              <w:t>-The steps and enzymes involved in DNA replication</w:t>
            </w:r>
          </w:p>
          <w:p w:rsidR="00144905" w:rsidRDefault="00144905" w:rsidP="00C24066">
            <w:pPr>
              <w:rPr>
                <w:rFonts w:ascii="Arial" w:hAnsi="Arial" w:cs="Arial"/>
                <w:sz w:val="20"/>
                <w:szCs w:val="20"/>
              </w:rPr>
            </w:pPr>
            <w:r>
              <w:rPr>
                <w:rFonts w:ascii="Arial" w:hAnsi="Arial" w:cs="Arial"/>
                <w:sz w:val="20"/>
                <w:szCs w:val="20"/>
              </w:rPr>
              <w:t>-The Semiconservative Hypothesis of DNA replication</w:t>
            </w:r>
          </w:p>
          <w:p w:rsidR="00144905" w:rsidRDefault="00144905" w:rsidP="00C24066">
            <w:pPr>
              <w:rPr>
                <w:rFonts w:ascii="Arial" w:hAnsi="Arial" w:cs="Arial"/>
                <w:sz w:val="20"/>
                <w:szCs w:val="20"/>
              </w:rPr>
            </w:pPr>
            <w:r>
              <w:rPr>
                <w:rFonts w:ascii="Arial" w:hAnsi="Arial" w:cs="Arial"/>
                <w:sz w:val="20"/>
                <w:szCs w:val="20"/>
              </w:rPr>
              <w:t>-The DNA scientists: Griffith, Avery / McCarty / Macleod, Hershey / Chase, Franklin, Watson / Crick</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(From Gene to Protein)</w:t>
            </w:r>
          </w:p>
        </w:tc>
        <w:tc>
          <w:tcPr>
            <w:tcW w:w="6131" w:type="dxa"/>
          </w:tcPr>
          <w:p w:rsidR="007A0058" w:rsidRDefault="00144905" w:rsidP="00C24066">
            <w:pPr>
              <w:rPr>
                <w:rFonts w:ascii="Arial" w:hAnsi="Arial" w:cs="Arial"/>
                <w:sz w:val="20"/>
                <w:szCs w:val="20"/>
              </w:rPr>
            </w:pPr>
            <w:r>
              <w:rPr>
                <w:rFonts w:ascii="Arial" w:hAnsi="Arial" w:cs="Arial"/>
                <w:sz w:val="20"/>
                <w:szCs w:val="20"/>
              </w:rPr>
              <w:t>-How prokaryotic protein synthesis differs from eukaryotic protein synthesis</w:t>
            </w:r>
          </w:p>
          <w:p w:rsidR="00144905" w:rsidRDefault="00144905" w:rsidP="00C24066">
            <w:pPr>
              <w:rPr>
                <w:rFonts w:ascii="Arial" w:hAnsi="Arial" w:cs="Arial"/>
                <w:sz w:val="20"/>
                <w:szCs w:val="20"/>
              </w:rPr>
            </w:pPr>
            <w:r w:rsidRPr="00A110E5">
              <w:rPr>
                <w:rFonts w:ascii="Arial" w:hAnsi="Arial" w:cs="Arial"/>
                <w:sz w:val="20"/>
                <w:szCs w:val="20"/>
                <w:highlight w:val="lightGray"/>
              </w:rPr>
              <w:t>-The processes involved in transcription, mRNA processing, and translation</w:t>
            </w:r>
          </w:p>
          <w:p w:rsidR="00144905" w:rsidRPr="00A110E5" w:rsidRDefault="00144905" w:rsidP="00C24066">
            <w:pPr>
              <w:rPr>
                <w:rFonts w:ascii="Arial" w:hAnsi="Arial" w:cs="Arial"/>
                <w:sz w:val="20"/>
                <w:szCs w:val="20"/>
                <w:highlight w:val="lightGray"/>
              </w:rPr>
            </w:pPr>
            <w:r w:rsidRPr="00A110E5">
              <w:rPr>
                <w:rFonts w:ascii="Arial" w:hAnsi="Arial" w:cs="Arial"/>
                <w:sz w:val="20"/>
                <w:szCs w:val="20"/>
                <w:highlight w:val="lightGray"/>
              </w:rPr>
              <w:t xml:space="preserve">-How to use complementary base pairing and a codon chart to go from DNA </w:t>
            </w:r>
            <w:r w:rsidRPr="00A110E5">
              <w:rPr>
                <w:rFonts w:ascii="Arial" w:hAnsi="Arial" w:cs="Arial"/>
                <w:sz w:val="20"/>
                <w:szCs w:val="20"/>
                <w:highlight w:val="lightGray"/>
              </w:rPr>
              <w:sym w:font="Wingdings" w:char="F0E0"/>
            </w:r>
            <w:r w:rsidRPr="00A110E5">
              <w:rPr>
                <w:rFonts w:ascii="Arial" w:hAnsi="Arial" w:cs="Arial"/>
                <w:sz w:val="20"/>
                <w:szCs w:val="20"/>
                <w:highlight w:val="lightGray"/>
              </w:rPr>
              <w:t xml:space="preserve"> mRNA </w:t>
            </w:r>
            <w:r w:rsidRPr="00A110E5">
              <w:rPr>
                <w:rFonts w:ascii="Arial" w:hAnsi="Arial" w:cs="Arial"/>
                <w:sz w:val="20"/>
                <w:szCs w:val="20"/>
                <w:highlight w:val="lightGray"/>
              </w:rPr>
              <w:sym w:font="Wingdings" w:char="F0E0"/>
            </w:r>
            <w:r w:rsidRPr="00A110E5">
              <w:rPr>
                <w:rFonts w:ascii="Arial" w:hAnsi="Arial" w:cs="Arial"/>
                <w:sz w:val="20"/>
                <w:szCs w:val="20"/>
                <w:highlight w:val="lightGray"/>
              </w:rPr>
              <w:t xml:space="preserve"> protein</w:t>
            </w:r>
          </w:p>
          <w:p w:rsidR="00144905" w:rsidRDefault="00144905" w:rsidP="00C24066">
            <w:pPr>
              <w:rPr>
                <w:rFonts w:ascii="Arial" w:hAnsi="Arial" w:cs="Arial"/>
                <w:sz w:val="20"/>
                <w:szCs w:val="20"/>
              </w:rPr>
            </w:pPr>
            <w:r w:rsidRPr="00A110E5">
              <w:rPr>
                <w:rFonts w:ascii="Arial" w:hAnsi="Arial" w:cs="Arial"/>
                <w:sz w:val="20"/>
                <w:szCs w:val="20"/>
                <w:highlight w:val="lightGray"/>
              </w:rPr>
              <w:t xml:space="preserve">(Remember: Read from the 3 on the D!  </w:t>
            </w:r>
            <w:proofErr w:type="gramStart"/>
            <w:r w:rsidRPr="00A110E5">
              <w:rPr>
                <w:rFonts w:ascii="Arial" w:hAnsi="Arial" w:cs="Arial"/>
                <w:sz w:val="20"/>
                <w:szCs w:val="20"/>
                <w:highlight w:val="lightGray"/>
              </w:rPr>
              <w:t>and</w:t>
            </w:r>
            <w:proofErr w:type="gramEnd"/>
            <w:r w:rsidRPr="00A110E5">
              <w:rPr>
                <w:rFonts w:ascii="Arial" w:hAnsi="Arial" w:cs="Arial"/>
                <w:sz w:val="20"/>
                <w:szCs w:val="20"/>
                <w:highlight w:val="lightGray"/>
              </w:rPr>
              <w:t xml:space="preserve"> Build from the 5 because build has 5 letters!)</w:t>
            </w:r>
          </w:p>
          <w:p w:rsidR="00144905" w:rsidRDefault="00144905" w:rsidP="00C24066">
            <w:pPr>
              <w:rPr>
                <w:rFonts w:ascii="Arial" w:hAnsi="Arial" w:cs="Arial"/>
                <w:sz w:val="20"/>
                <w:szCs w:val="20"/>
              </w:rPr>
            </w:pPr>
            <w:r>
              <w:rPr>
                <w:rFonts w:ascii="Arial" w:hAnsi="Arial" w:cs="Arial"/>
                <w:sz w:val="20"/>
                <w:szCs w:val="20"/>
              </w:rPr>
              <w:t>-The different types of mutations and their effects on the resulting polypeptide</w:t>
            </w:r>
          </w:p>
          <w:p w:rsidR="00144905" w:rsidRDefault="00144905" w:rsidP="00144905">
            <w:pPr>
              <w:rPr>
                <w:rFonts w:ascii="Arial" w:hAnsi="Arial" w:cs="Arial"/>
                <w:sz w:val="20"/>
                <w:szCs w:val="20"/>
              </w:rPr>
            </w:pPr>
            <w:r w:rsidRPr="00A110E5">
              <w:rPr>
                <w:rFonts w:ascii="Arial" w:hAnsi="Arial" w:cs="Arial"/>
                <w:sz w:val="20"/>
                <w:szCs w:val="20"/>
                <w:highlight w:val="lightGray"/>
              </w:rPr>
              <w:t xml:space="preserve">-The difference between the following terms: nucleotides, nitrogenous bases, DNA triplets, mRNA codons, </w:t>
            </w:r>
            <w:proofErr w:type="spellStart"/>
            <w:r w:rsidRPr="00A110E5">
              <w:rPr>
                <w:rFonts w:ascii="Arial" w:hAnsi="Arial" w:cs="Arial"/>
                <w:sz w:val="20"/>
                <w:szCs w:val="20"/>
                <w:highlight w:val="lightGray"/>
              </w:rPr>
              <w:t>tRNA</w:t>
            </w:r>
            <w:proofErr w:type="spellEnd"/>
            <w:r w:rsidRPr="00A110E5">
              <w:rPr>
                <w:rFonts w:ascii="Arial" w:hAnsi="Arial" w:cs="Arial"/>
                <w:sz w:val="20"/>
                <w:szCs w:val="20"/>
                <w:highlight w:val="lightGray"/>
              </w:rPr>
              <w:t xml:space="preserve"> anticodons, amino acids, polypeptides, and full proteins</w:t>
            </w:r>
            <w:r>
              <w:rPr>
                <w:rFonts w:ascii="Arial" w:hAnsi="Arial" w:cs="Arial"/>
                <w:sz w:val="20"/>
                <w:szCs w:val="20"/>
              </w:rPr>
              <w:t xml:space="preserve">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3 (Viral and Bacterial Genetics) </w:t>
            </w:r>
          </w:p>
        </w:tc>
        <w:tc>
          <w:tcPr>
            <w:tcW w:w="6131" w:type="dxa"/>
          </w:tcPr>
          <w:p w:rsidR="007A0058" w:rsidRDefault="001C0F78" w:rsidP="00C24066">
            <w:pPr>
              <w:rPr>
                <w:rFonts w:ascii="Arial" w:hAnsi="Arial" w:cs="Arial"/>
                <w:sz w:val="20"/>
                <w:szCs w:val="20"/>
              </w:rPr>
            </w:pPr>
            <w:r>
              <w:rPr>
                <w:rFonts w:ascii="Arial" w:hAnsi="Arial" w:cs="Arial"/>
                <w:sz w:val="20"/>
                <w:szCs w:val="20"/>
              </w:rPr>
              <w:t>-The basic structure of a virus</w:t>
            </w:r>
          </w:p>
          <w:p w:rsidR="001C0F78" w:rsidRDefault="001C0F78" w:rsidP="00C24066">
            <w:pPr>
              <w:rPr>
                <w:rFonts w:ascii="Arial" w:hAnsi="Arial" w:cs="Arial"/>
                <w:sz w:val="20"/>
                <w:szCs w:val="20"/>
              </w:rPr>
            </w:pPr>
            <w:r>
              <w:rPr>
                <w:rFonts w:ascii="Arial" w:hAnsi="Arial" w:cs="Arial"/>
                <w:sz w:val="20"/>
                <w:szCs w:val="20"/>
              </w:rPr>
              <w:t>-The two methods of viral infection / reproduction: the lytic and lysogenic cycles</w:t>
            </w:r>
          </w:p>
          <w:p w:rsidR="001C0F78" w:rsidRDefault="001C0F78" w:rsidP="00C24066">
            <w:pPr>
              <w:rPr>
                <w:rFonts w:ascii="Arial" w:hAnsi="Arial" w:cs="Arial"/>
                <w:sz w:val="20"/>
                <w:szCs w:val="20"/>
              </w:rPr>
            </w:pPr>
            <w:r>
              <w:rPr>
                <w:rFonts w:ascii="Arial" w:hAnsi="Arial" w:cs="Arial"/>
                <w:sz w:val="20"/>
                <w:szCs w:val="20"/>
              </w:rPr>
              <w:t>-The unique method of retroviral infection</w:t>
            </w:r>
          </w:p>
          <w:p w:rsidR="001C0F78" w:rsidRDefault="001C0F78" w:rsidP="00C24066">
            <w:pPr>
              <w:rPr>
                <w:rFonts w:ascii="Arial" w:hAnsi="Arial" w:cs="Arial"/>
                <w:sz w:val="20"/>
                <w:szCs w:val="20"/>
              </w:rPr>
            </w:pPr>
            <w:r>
              <w:rPr>
                <w:rFonts w:ascii="Arial" w:hAnsi="Arial" w:cs="Arial"/>
                <w:sz w:val="20"/>
                <w:szCs w:val="20"/>
              </w:rPr>
              <w:t xml:space="preserve">-How transformation, transduction, and conjugation increase genetic variation in populations of bacteria </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12 (Gene Regulation and Biotechnology)</w:t>
            </w: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1 (Gene Regulation) </w:t>
            </w:r>
          </w:p>
        </w:tc>
        <w:tc>
          <w:tcPr>
            <w:tcW w:w="6131" w:type="dxa"/>
          </w:tcPr>
          <w:p w:rsidR="007A0058" w:rsidRDefault="00DA0215" w:rsidP="00C24066">
            <w:pPr>
              <w:rPr>
                <w:rFonts w:ascii="Arial" w:hAnsi="Arial" w:cs="Arial"/>
                <w:sz w:val="20"/>
                <w:szCs w:val="20"/>
              </w:rPr>
            </w:pPr>
            <w:r>
              <w:rPr>
                <w:rFonts w:ascii="Arial" w:hAnsi="Arial" w:cs="Arial"/>
                <w:sz w:val="20"/>
                <w:szCs w:val="20"/>
              </w:rPr>
              <w:t xml:space="preserve">-The structure of prokaryotic operons </w:t>
            </w:r>
          </w:p>
          <w:p w:rsidR="00DA0215" w:rsidRDefault="00DA0215" w:rsidP="00C24066">
            <w:pPr>
              <w:rPr>
                <w:rFonts w:ascii="Arial" w:hAnsi="Arial" w:cs="Arial"/>
                <w:sz w:val="20"/>
                <w:szCs w:val="20"/>
              </w:rPr>
            </w:pPr>
            <w:r>
              <w:rPr>
                <w:rFonts w:ascii="Arial" w:hAnsi="Arial" w:cs="Arial"/>
                <w:sz w:val="20"/>
                <w:szCs w:val="20"/>
              </w:rPr>
              <w:t>-The differences between repressible and inducible operons</w:t>
            </w:r>
          </w:p>
          <w:p w:rsidR="00DA0215" w:rsidRDefault="00DA0215" w:rsidP="00C24066">
            <w:pPr>
              <w:rPr>
                <w:rFonts w:ascii="Arial" w:hAnsi="Arial" w:cs="Arial"/>
                <w:sz w:val="20"/>
                <w:szCs w:val="20"/>
              </w:rPr>
            </w:pPr>
            <w:r>
              <w:rPr>
                <w:rFonts w:ascii="Arial" w:hAnsi="Arial" w:cs="Arial"/>
                <w:sz w:val="20"/>
                <w:szCs w:val="20"/>
              </w:rPr>
              <w:t xml:space="preserve">-The different levels at which gene expression can be regulated in eukaryotic cells (i.e. DNA structure level, transcription, post-transcription, translation, and post-translation)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(Biotechnology A)</w:t>
            </w:r>
          </w:p>
        </w:tc>
        <w:tc>
          <w:tcPr>
            <w:tcW w:w="6131" w:type="dxa"/>
          </w:tcPr>
          <w:p w:rsidR="007A0058" w:rsidRDefault="00DA0215" w:rsidP="00C24066">
            <w:pPr>
              <w:rPr>
                <w:rFonts w:ascii="Arial" w:hAnsi="Arial" w:cs="Arial"/>
                <w:sz w:val="20"/>
                <w:szCs w:val="20"/>
              </w:rPr>
            </w:pPr>
            <w:r>
              <w:rPr>
                <w:rFonts w:ascii="Arial" w:hAnsi="Arial" w:cs="Arial"/>
                <w:sz w:val="20"/>
                <w:szCs w:val="20"/>
              </w:rPr>
              <w:t xml:space="preserve">-How restriction enzymes are used in gel electrophoresis </w:t>
            </w:r>
          </w:p>
          <w:p w:rsidR="00DA0215" w:rsidRDefault="00DA0215" w:rsidP="00C24066">
            <w:pPr>
              <w:rPr>
                <w:rFonts w:ascii="Arial" w:hAnsi="Arial" w:cs="Arial"/>
                <w:sz w:val="20"/>
                <w:szCs w:val="20"/>
              </w:rPr>
            </w:pPr>
            <w:r>
              <w:rPr>
                <w:rFonts w:ascii="Arial" w:hAnsi="Arial" w:cs="Arial"/>
                <w:sz w:val="20"/>
                <w:szCs w:val="20"/>
              </w:rPr>
              <w:t>-The steps of gel electrophoresis</w:t>
            </w:r>
          </w:p>
          <w:p w:rsidR="00DA0215" w:rsidRDefault="00DA0215" w:rsidP="00C24066">
            <w:pPr>
              <w:rPr>
                <w:rFonts w:ascii="Arial" w:hAnsi="Arial" w:cs="Arial"/>
                <w:sz w:val="20"/>
                <w:szCs w:val="20"/>
              </w:rPr>
            </w:pPr>
            <w:r>
              <w:rPr>
                <w:rFonts w:ascii="Arial" w:hAnsi="Arial" w:cs="Arial"/>
                <w:sz w:val="20"/>
                <w:szCs w:val="20"/>
              </w:rPr>
              <w:t xml:space="preserve">-How to analyze a DNA fingerprint (aka gel) </w:t>
            </w:r>
          </w:p>
          <w:p w:rsidR="00DA0215" w:rsidRDefault="00DA0215" w:rsidP="00DA0215">
            <w:pPr>
              <w:rPr>
                <w:rFonts w:ascii="Arial" w:hAnsi="Arial" w:cs="Arial"/>
                <w:sz w:val="20"/>
                <w:szCs w:val="20"/>
              </w:rPr>
            </w:pPr>
            <w:r>
              <w:rPr>
                <w:rFonts w:ascii="Arial" w:hAnsi="Arial" w:cs="Arial"/>
                <w:sz w:val="20"/>
                <w:szCs w:val="20"/>
              </w:rPr>
              <w:t>-How PCR and gene cloning using bacterial plasmids are used to make copies of a particular gene sequence</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3 (Biotechnology B)</w:t>
            </w:r>
          </w:p>
        </w:tc>
        <w:tc>
          <w:tcPr>
            <w:tcW w:w="6131" w:type="dxa"/>
          </w:tcPr>
          <w:p w:rsidR="007A0058" w:rsidRDefault="00DA0215" w:rsidP="00C24066">
            <w:pPr>
              <w:rPr>
                <w:rFonts w:ascii="Arial" w:hAnsi="Arial" w:cs="Arial"/>
                <w:sz w:val="20"/>
                <w:szCs w:val="20"/>
              </w:rPr>
            </w:pPr>
            <w:r>
              <w:rPr>
                <w:rFonts w:ascii="Arial" w:hAnsi="Arial" w:cs="Arial"/>
                <w:sz w:val="20"/>
                <w:szCs w:val="20"/>
              </w:rPr>
              <w:t xml:space="preserve">-How recombinant plasmids are created and used (ex: in the creation of human insulin) </w:t>
            </w:r>
          </w:p>
          <w:p w:rsidR="00DA0215" w:rsidRDefault="00DA0215" w:rsidP="00C24066">
            <w:pPr>
              <w:rPr>
                <w:rFonts w:ascii="Arial" w:hAnsi="Arial" w:cs="Arial"/>
                <w:sz w:val="20"/>
                <w:szCs w:val="20"/>
              </w:rPr>
            </w:pPr>
            <w:r>
              <w:rPr>
                <w:rFonts w:ascii="Arial" w:hAnsi="Arial" w:cs="Arial"/>
                <w:sz w:val="20"/>
                <w:szCs w:val="20"/>
              </w:rPr>
              <w:t>-How to analyze the results of bacterial transformation experiments (ex: PGLO)</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 xml:space="preserve">13 (Organism Form and Function) </w:t>
            </w: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1 (Development of Organisms) </w:t>
            </w:r>
          </w:p>
        </w:tc>
        <w:tc>
          <w:tcPr>
            <w:tcW w:w="6131" w:type="dxa"/>
          </w:tcPr>
          <w:p w:rsidR="007A0058" w:rsidRDefault="00212D81" w:rsidP="00C24066">
            <w:pPr>
              <w:rPr>
                <w:rFonts w:ascii="Arial" w:hAnsi="Arial" w:cs="Arial"/>
                <w:sz w:val="20"/>
                <w:szCs w:val="20"/>
              </w:rPr>
            </w:pPr>
            <w:r>
              <w:rPr>
                <w:rFonts w:ascii="Arial" w:hAnsi="Arial" w:cs="Arial"/>
                <w:sz w:val="20"/>
                <w:szCs w:val="20"/>
              </w:rPr>
              <w:t>-How transcription factors and activators are used to regulate eukaryotic gene expression at the transcription level</w:t>
            </w:r>
          </w:p>
          <w:p w:rsidR="00212D81" w:rsidRDefault="00212D81" w:rsidP="00C24066">
            <w:pPr>
              <w:rPr>
                <w:rFonts w:ascii="Arial" w:hAnsi="Arial" w:cs="Arial"/>
                <w:sz w:val="20"/>
                <w:szCs w:val="20"/>
              </w:rPr>
            </w:pPr>
            <w:r>
              <w:rPr>
                <w:rFonts w:ascii="Arial" w:hAnsi="Arial" w:cs="Arial"/>
                <w:sz w:val="20"/>
                <w:szCs w:val="20"/>
              </w:rPr>
              <w:t xml:space="preserve">-How homeotic genes and cytoplasmic determinants like </w:t>
            </w:r>
            <w:proofErr w:type="spellStart"/>
            <w:r>
              <w:rPr>
                <w:rFonts w:ascii="Arial" w:hAnsi="Arial" w:cs="Arial"/>
                <w:sz w:val="20"/>
                <w:szCs w:val="20"/>
              </w:rPr>
              <w:t>bicoid</w:t>
            </w:r>
            <w:proofErr w:type="spellEnd"/>
            <w:r>
              <w:rPr>
                <w:rFonts w:ascii="Arial" w:hAnsi="Arial" w:cs="Arial"/>
                <w:sz w:val="20"/>
                <w:szCs w:val="20"/>
              </w:rPr>
              <w:t xml:space="preserve"> and caudal are used during pattern formation</w:t>
            </w:r>
          </w:p>
          <w:p w:rsidR="00212D81" w:rsidRDefault="00212D81" w:rsidP="00C24066">
            <w:pPr>
              <w:rPr>
                <w:rFonts w:ascii="Arial" w:hAnsi="Arial" w:cs="Arial"/>
                <w:sz w:val="20"/>
                <w:szCs w:val="20"/>
              </w:rPr>
            </w:pPr>
            <w:r>
              <w:rPr>
                <w:rFonts w:ascii="Arial" w:hAnsi="Arial" w:cs="Arial"/>
                <w:sz w:val="20"/>
                <w:szCs w:val="20"/>
              </w:rPr>
              <w:t>-How apoptosis is used during morphogenesis</w:t>
            </w:r>
          </w:p>
          <w:p w:rsidR="00212D81" w:rsidRDefault="00212D81" w:rsidP="00C24066">
            <w:pPr>
              <w:rPr>
                <w:rFonts w:ascii="Arial" w:hAnsi="Arial" w:cs="Arial"/>
                <w:sz w:val="20"/>
                <w:szCs w:val="20"/>
              </w:rPr>
            </w:pPr>
            <w:r>
              <w:rPr>
                <w:rFonts w:ascii="Arial" w:hAnsi="Arial" w:cs="Arial"/>
                <w:sz w:val="20"/>
                <w:szCs w:val="20"/>
              </w:rPr>
              <w:t xml:space="preserve">-How embryonic induction, transcription factors, and RNA interference are used during cell differentiation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2 (Timing and Coordination)</w:t>
            </w:r>
          </w:p>
        </w:tc>
        <w:tc>
          <w:tcPr>
            <w:tcW w:w="6131" w:type="dxa"/>
          </w:tcPr>
          <w:p w:rsidR="007A0058" w:rsidRDefault="00212D81" w:rsidP="00C24066">
            <w:pPr>
              <w:rPr>
                <w:rFonts w:ascii="Arial" w:hAnsi="Arial" w:cs="Arial"/>
                <w:sz w:val="20"/>
                <w:szCs w:val="20"/>
              </w:rPr>
            </w:pPr>
            <w:r>
              <w:rPr>
                <w:rFonts w:ascii="Arial" w:hAnsi="Arial" w:cs="Arial"/>
                <w:sz w:val="20"/>
                <w:szCs w:val="20"/>
              </w:rPr>
              <w:t>-How cells are organized into larger structures (ex: tissues, organs, organ systems) to regulate physiological responses to the environment</w:t>
            </w:r>
          </w:p>
          <w:p w:rsidR="00212D81" w:rsidRDefault="00212D81" w:rsidP="00C24066">
            <w:pPr>
              <w:rPr>
                <w:rFonts w:ascii="Arial" w:hAnsi="Arial" w:cs="Arial"/>
                <w:sz w:val="20"/>
                <w:szCs w:val="20"/>
              </w:rPr>
            </w:pPr>
            <w:r>
              <w:rPr>
                <w:rFonts w:ascii="Arial" w:hAnsi="Arial" w:cs="Arial"/>
                <w:sz w:val="20"/>
                <w:szCs w:val="20"/>
              </w:rPr>
              <w:t xml:space="preserve">-Examples of coordinated physiological responses: phototropism and </w:t>
            </w:r>
            <w:proofErr w:type="spellStart"/>
            <w:r>
              <w:rPr>
                <w:rFonts w:ascii="Arial" w:hAnsi="Arial" w:cs="Arial"/>
                <w:sz w:val="20"/>
                <w:szCs w:val="20"/>
              </w:rPr>
              <w:t>photoperiodism</w:t>
            </w:r>
            <w:proofErr w:type="spellEnd"/>
            <w:r>
              <w:rPr>
                <w:rFonts w:ascii="Arial" w:hAnsi="Arial" w:cs="Arial"/>
                <w:sz w:val="20"/>
                <w:szCs w:val="20"/>
              </w:rPr>
              <w:t xml:space="preserve"> in plants, human regulation of body temperature, formation of reproductive structures (i.e. fruiting bodies) in </w:t>
            </w:r>
            <w:proofErr w:type="spellStart"/>
            <w:r>
              <w:rPr>
                <w:rFonts w:ascii="Arial" w:hAnsi="Arial" w:cs="Arial"/>
                <w:sz w:val="20"/>
                <w:szCs w:val="20"/>
              </w:rPr>
              <w:t>myxobacterial</w:t>
            </w:r>
            <w:proofErr w:type="spellEnd"/>
            <w:r>
              <w:rPr>
                <w:rFonts w:ascii="Arial" w:hAnsi="Arial" w:cs="Arial"/>
                <w:sz w:val="20"/>
                <w:szCs w:val="20"/>
              </w:rPr>
              <w:t xml:space="preserve"> cells under ideal environmental conditions</w:t>
            </w:r>
          </w:p>
          <w:p w:rsidR="00212D81" w:rsidRDefault="00212D81" w:rsidP="00C24066">
            <w:pPr>
              <w:rPr>
                <w:rFonts w:ascii="Arial" w:hAnsi="Arial" w:cs="Arial"/>
                <w:sz w:val="20"/>
                <w:szCs w:val="20"/>
              </w:rPr>
            </w:pPr>
            <w:r>
              <w:rPr>
                <w:rFonts w:ascii="Arial" w:hAnsi="Arial" w:cs="Arial"/>
                <w:sz w:val="20"/>
                <w:szCs w:val="20"/>
              </w:rPr>
              <w:t>-The proximate vs. ultimate causes for behaviors</w:t>
            </w:r>
          </w:p>
          <w:p w:rsidR="00212D81" w:rsidRDefault="00212D81" w:rsidP="00C24066">
            <w:pPr>
              <w:rPr>
                <w:rFonts w:ascii="Arial" w:hAnsi="Arial" w:cs="Arial"/>
                <w:sz w:val="20"/>
                <w:szCs w:val="20"/>
              </w:rPr>
            </w:pPr>
            <w:r>
              <w:rPr>
                <w:rFonts w:ascii="Arial" w:hAnsi="Arial" w:cs="Arial"/>
                <w:sz w:val="20"/>
                <w:szCs w:val="20"/>
              </w:rPr>
              <w:t>-The difference between innate behaviors (ex: fixed action patterns) and learned behaviors (ex: imprinting)</w:t>
            </w:r>
          </w:p>
          <w:p w:rsidR="00212D81" w:rsidRDefault="00212D81" w:rsidP="00C24066">
            <w:pPr>
              <w:rPr>
                <w:rFonts w:ascii="Arial" w:hAnsi="Arial" w:cs="Arial"/>
                <w:sz w:val="20"/>
                <w:szCs w:val="20"/>
              </w:rPr>
            </w:pPr>
            <w:r>
              <w:rPr>
                <w:rFonts w:ascii="Arial" w:hAnsi="Arial" w:cs="Arial"/>
                <w:sz w:val="20"/>
                <w:szCs w:val="20"/>
              </w:rPr>
              <w:t>-The benefit of cooperative behavior</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3 (Defense: The Immune System) </w:t>
            </w:r>
          </w:p>
        </w:tc>
        <w:tc>
          <w:tcPr>
            <w:tcW w:w="6131" w:type="dxa"/>
          </w:tcPr>
          <w:p w:rsidR="007A0058" w:rsidRDefault="00212D81" w:rsidP="00C24066">
            <w:pPr>
              <w:rPr>
                <w:rFonts w:ascii="Arial" w:hAnsi="Arial" w:cs="Arial"/>
                <w:sz w:val="20"/>
                <w:szCs w:val="20"/>
              </w:rPr>
            </w:pPr>
            <w:r>
              <w:rPr>
                <w:rFonts w:ascii="Arial" w:hAnsi="Arial" w:cs="Arial"/>
                <w:sz w:val="20"/>
                <w:szCs w:val="20"/>
              </w:rPr>
              <w:t>-Examples of nonspecific immune responses in plants and animals</w:t>
            </w:r>
          </w:p>
          <w:p w:rsidR="00212D81" w:rsidRDefault="00212D81" w:rsidP="00C24066">
            <w:pPr>
              <w:rPr>
                <w:rFonts w:ascii="Arial" w:hAnsi="Arial" w:cs="Arial"/>
                <w:sz w:val="20"/>
                <w:szCs w:val="20"/>
              </w:rPr>
            </w:pPr>
            <w:r>
              <w:rPr>
                <w:rFonts w:ascii="Arial" w:hAnsi="Arial" w:cs="Arial"/>
                <w:sz w:val="20"/>
                <w:szCs w:val="20"/>
              </w:rPr>
              <w:t>-The cells and processes involved in the specific immune response in humans</w:t>
            </w:r>
          </w:p>
          <w:p w:rsidR="00212D81" w:rsidRDefault="00212D81" w:rsidP="00C24066">
            <w:pPr>
              <w:rPr>
                <w:rFonts w:ascii="Arial" w:hAnsi="Arial" w:cs="Arial"/>
                <w:sz w:val="20"/>
                <w:szCs w:val="20"/>
              </w:rPr>
            </w:pPr>
            <w:r>
              <w:rPr>
                <w:rFonts w:ascii="Arial" w:hAnsi="Arial" w:cs="Arial"/>
                <w:sz w:val="20"/>
                <w:szCs w:val="20"/>
              </w:rPr>
              <w:t>-Why the specific immune response is so fast during secondary infection</w:t>
            </w:r>
          </w:p>
          <w:p w:rsidR="00212D81" w:rsidRDefault="00212D81" w:rsidP="00C24066">
            <w:pPr>
              <w:rPr>
                <w:rFonts w:ascii="Arial" w:hAnsi="Arial" w:cs="Arial"/>
                <w:sz w:val="20"/>
                <w:szCs w:val="20"/>
              </w:rPr>
            </w:pPr>
            <w:r>
              <w:rPr>
                <w:rFonts w:ascii="Arial" w:hAnsi="Arial" w:cs="Arial"/>
                <w:sz w:val="20"/>
                <w:szCs w:val="20"/>
              </w:rPr>
              <w:t>-The definition of autoimmune diseases</w:t>
            </w:r>
          </w:p>
        </w:tc>
      </w:tr>
      <w:tr w:rsidR="007A0058" w:rsidTr="004729DC">
        <w:tc>
          <w:tcPr>
            <w:tcW w:w="1706" w:type="dxa"/>
            <w:vMerge w:val="restart"/>
          </w:tcPr>
          <w:p w:rsidR="007A0058" w:rsidRDefault="007A0058" w:rsidP="00197EFC">
            <w:pPr>
              <w:rPr>
                <w:rFonts w:ascii="Arial" w:hAnsi="Arial" w:cs="Arial"/>
                <w:sz w:val="20"/>
                <w:szCs w:val="20"/>
              </w:rPr>
            </w:pPr>
            <w:r>
              <w:rPr>
                <w:rFonts w:ascii="Arial" w:hAnsi="Arial" w:cs="Arial"/>
                <w:sz w:val="20"/>
                <w:szCs w:val="20"/>
              </w:rPr>
              <w:t>Calculations</w:t>
            </w:r>
          </w:p>
        </w:tc>
        <w:tc>
          <w:tcPr>
            <w:tcW w:w="1739" w:type="dxa"/>
          </w:tcPr>
          <w:p w:rsidR="007A0058" w:rsidRDefault="007A0058" w:rsidP="00C24066">
            <w:pPr>
              <w:rPr>
                <w:rFonts w:ascii="Arial" w:hAnsi="Arial" w:cs="Arial"/>
                <w:sz w:val="20"/>
                <w:szCs w:val="20"/>
              </w:rPr>
            </w:pPr>
            <w:r>
              <w:rPr>
                <w:rFonts w:ascii="Arial" w:hAnsi="Arial" w:cs="Arial"/>
                <w:sz w:val="20"/>
                <w:szCs w:val="20"/>
              </w:rPr>
              <w:t>Standard Error of the Mean (SEM), 95% Confidence Limit, and Error Bars on Graphs</w:t>
            </w:r>
          </w:p>
        </w:tc>
        <w:tc>
          <w:tcPr>
            <w:tcW w:w="6131" w:type="dxa"/>
          </w:tcPr>
          <w:p w:rsidR="007A0058" w:rsidRDefault="00A30CEB" w:rsidP="00A30CEB">
            <w:pPr>
              <w:rPr>
                <w:rFonts w:ascii="Arial" w:hAnsi="Arial" w:cs="Arial"/>
                <w:sz w:val="20"/>
                <w:szCs w:val="20"/>
              </w:rPr>
            </w:pPr>
            <w:r>
              <w:rPr>
                <w:rFonts w:ascii="Arial" w:hAnsi="Arial" w:cs="Arial"/>
                <w:sz w:val="20"/>
                <w:szCs w:val="20"/>
              </w:rPr>
              <w:t>-The mean + or – 2SEM’s = 95% confidence limit (i.e. the error bar range on a graph of the mean)… in other words, we are 95% confident that the true mean for a larger sample of data would fall within this range</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Chi Square</w:t>
            </w:r>
          </w:p>
        </w:tc>
        <w:tc>
          <w:tcPr>
            <w:tcW w:w="6131" w:type="dxa"/>
          </w:tcPr>
          <w:p w:rsidR="00A30CEB" w:rsidRDefault="00A30CEB" w:rsidP="00A30CEB">
            <w:pPr>
              <w:rPr>
                <w:rFonts w:ascii="Arial" w:hAnsi="Arial" w:cs="Arial"/>
                <w:sz w:val="20"/>
                <w:szCs w:val="20"/>
              </w:rPr>
            </w:pPr>
            <w:r w:rsidRPr="00A30CEB">
              <w:rPr>
                <w:rFonts w:ascii="Arial" w:hAnsi="Arial" w:cs="Arial"/>
                <w:sz w:val="20"/>
                <w:szCs w:val="20"/>
                <w:highlight w:val="lightGray"/>
              </w:rPr>
              <w:t>-A null hypothesis typically states: there is NO statistically significant difference between the observed and expected values OR two sets of data</w:t>
            </w:r>
          </w:p>
          <w:p w:rsidR="00A30CEB" w:rsidRDefault="00A30CEB" w:rsidP="00A30CEB">
            <w:pPr>
              <w:rPr>
                <w:rFonts w:ascii="Arial" w:hAnsi="Arial" w:cs="Arial"/>
                <w:sz w:val="20"/>
                <w:szCs w:val="20"/>
              </w:rPr>
            </w:pPr>
            <w:r>
              <w:rPr>
                <w:rFonts w:ascii="Arial" w:hAnsi="Arial" w:cs="Arial"/>
                <w:sz w:val="20"/>
                <w:szCs w:val="20"/>
              </w:rPr>
              <w:t>-There is usually an alternate hypothesis that states: there IS a statistically significant difference between the observed and expected values or two sets of data</w:t>
            </w:r>
          </w:p>
          <w:p w:rsidR="00A30CEB" w:rsidRDefault="00A30CEB" w:rsidP="00A30CEB">
            <w:pPr>
              <w:rPr>
                <w:rFonts w:ascii="Arial" w:hAnsi="Arial" w:cs="Arial"/>
                <w:sz w:val="20"/>
                <w:szCs w:val="20"/>
              </w:rPr>
            </w:pPr>
            <w:r>
              <w:rPr>
                <w:rFonts w:ascii="Arial" w:hAnsi="Arial" w:cs="Arial"/>
                <w:sz w:val="20"/>
                <w:szCs w:val="20"/>
              </w:rPr>
              <w:t xml:space="preserve">-expected and observed values are ALWAYS whole numbers </w:t>
            </w:r>
          </w:p>
          <w:p w:rsidR="00A30CEB" w:rsidRDefault="00A30CEB" w:rsidP="00A30CEB">
            <w:pPr>
              <w:rPr>
                <w:rFonts w:ascii="Arial" w:hAnsi="Arial" w:cs="Arial"/>
                <w:sz w:val="20"/>
                <w:szCs w:val="20"/>
              </w:rPr>
            </w:pPr>
            <w:r>
              <w:rPr>
                <w:rFonts w:ascii="Arial" w:hAnsi="Arial" w:cs="Arial"/>
                <w:sz w:val="20"/>
                <w:szCs w:val="20"/>
              </w:rPr>
              <w:t>-the observed values are from your experimental data</w:t>
            </w:r>
          </w:p>
          <w:p w:rsidR="00A30CEB" w:rsidRDefault="00A30CEB" w:rsidP="00A30CEB">
            <w:pPr>
              <w:rPr>
                <w:rFonts w:ascii="Arial" w:hAnsi="Arial" w:cs="Arial"/>
                <w:sz w:val="20"/>
                <w:szCs w:val="20"/>
              </w:rPr>
            </w:pPr>
            <w:r w:rsidRPr="00A30CEB">
              <w:rPr>
                <w:rFonts w:ascii="Arial" w:hAnsi="Arial" w:cs="Arial"/>
                <w:sz w:val="20"/>
                <w:szCs w:val="20"/>
                <w:highlight w:val="lightGray"/>
              </w:rPr>
              <w:t>-the expected values are the frequencies you expect based on your null hypothesis… you must multiply these expected decimal frequencies by the total sample size to get whole numbers for your expected values</w:t>
            </w:r>
          </w:p>
          <w:p w:rsidR="00A30CEB" w:rsidRDefault="00A30CEB" w:rsidP="00A30CEB">
            <w:pPr>
              <w:rPr>
                <w:rFonts w:ascii="Arial" w:hAnsi="Arial" w:cs="Arial"/>
                <w:sz w:val="20"/>
                <w:szCs w:val="20"/>
              </w:rPr>
            </w:pPr>
            <w:r>
              <w:rPr>
                <w:rFonts w:ascii="Arial" w:hAnsi="Arial" w:cs="Arial"/>
                <w:sz w:val="20"/>
                <w:szCs w:val="20"/>
              </w:rPr>
              <w:t xml:space="preserve">-degrees of freedom = number of data sets (n) -1 </w:t>
            </w:r>
          </w:p>
          <w:p w:rsidR="007A0058" w:rsidRPr="00A30CEB" w:rsidRDefault="00A30CEB" w:rsidP="00A30CEB">
            <w:pPr>
              <w:rPr>
                <w:rFonts w:ascii="Arial" w:hAnsi="Arial" w:cs="Arial"/>
                <w:sz w:val="20"/>
                <w:szCs w:val="20"/>
                <w:highlight w:val="lightGray"/>
              </w:rPr>
            </w:pPr>
            <w:r w:rsidRPr="00A30CEB">
              <w:rPr>
                <w:rFonts w:ascii="Arial" w:hAnsi="Arial" w:cs="Arial"/>
                <w:sz w:val="20"/>
                <w:szCs w:val="20"/>
                <w:highlight w:val="lightGray"/>
              </w:rPr>
              <w:t>-if your X</w:t>
            </w:r>
            <w:r w:rsidRPr="00A30CEB">
              <w:rPr>
                <w:rFonts w:ascii="Arial" w:hAnsi="Arial" w:cs="Arial"/>
                <w:sz w:val="20"/>
                <w:szCs w:val="20"/>
                <w:highlight w:val="lightGray"/>
                <w:vertAlign w:val="superscript"/>
              </w:rPr>
              <w:t>2</w:t>
            </w:r>
            <w:r w:rsidRPr="00A30CEB">
              <w:rPr>
                <w:rFonts w:ascii="Arial" w:hAnsi="Arial" w:cs="Arial"/>
                <w:sz w:val="20"/>
                <w:szCs w:val="20"/>
                <w:highlight w:val="lightGray"/>
              </w:rPr>
              <w:t xml:space="preserve"> value is above the critical value (from the chart, at a p value of 0.05 and the correct degrees of freedom)  </w:t>
            </w:r>
            <w:r w:rsidRPr="00A30CEB">
              <w:rPr>
                <w:rFonts w:ascii="Arial" w:hAnsi="Arial" w:cs="Arial"/>
                <w:sz w:val="20"/>
                <w:szCs w:val="20"/>
                <w:highlight w:val="lightGray"/>
              </w:rPr>
              <w:sym w:font="Wingdings" w:char="F0E0"/>
            </w:r>
            <w:r w:rsidRPr="00A30CEB">
              <w:rPr>
                <w:rFonts w:ascii="Arial" w:hAnsi="Arial" w:cs="Arial"/>
                <w:sz w:val="20"/>
                <w:szCs w:val="20"/>
                <w:highlight w:val="lightGray"/>
              </w:rPr>
              <w:t xml:space="preserve"> reject the null hypothesis </w:t>
            </w:r>
          </w:p>
          <w:p w:rsidR="00A30CEB" w:rsidRPr="00A30CEB" w:rsidRDefault="00A30CEB" w:rsidP="00A30CEB">
            <w:pPr>
              <w:rPr>
                <w:rFonts w:ascii="Arial" w:hAnsi="Arial" w:cs="Arial"/>
                <w:sz w:val="20"/>
                <w:szCs w:val="20"/>
              </w:rPr>
            </w:pPr>
            <w:r w:rsidRPr="00A30CEB">
              <w:rPr>
                <w:rFonts w:ascii="Arial" w:hAnsi="Arial" w:cs="Arial"/>
                <w:sz w:val="20"/>
                <w:szCs w:val="20"/>
                <w:highlight w:val="lightGray"/>
              </w:rPr>
              <w:t>-if your X</w:t>
            </w:r>
            <w:r w:rsidRPr="00A30CEB">
              <w:rPr>
                <w:rFonts w:ascii="Arial" w:hAnsi="Arial" w:cs="Arial"/>
                <w:sz w:val="20"/>
                <w:szCs w:val="20"/>
                <w:highlight w:val="lightGray"/>
                <w:vertAlign w:val="superscript"/>
              </w:rPr>
              <w:t>2</w:t>
            </w:r>
            <w:r w:rsidRPr="00A30CEB">
              <w:rPr>
                <w:rFonts w:ascii="Arial" w:hAnsi="Arial" w:cs="Arial"/>
                <w:sz w:val="20"/>
                <w:szCs w:val="20"/>
                <w:highlight w:val="lightGray"/>
              </w:rPr>
              <w:t xml:space="preserve"> value is below the critical value </w:t>
            </w:r>
            <w:r w:rsidRPr="00A30CEB">
              <w:rPr>
                <w:rFonts w:ascii="Arial" w:hAnsi="Arial" w:cs="Arial"/>
                <w:sz w:val="20"/>
                <w:szCs w:val="20"/>
                <w:highlight w:val="lightGray"/>
              </w:rPr>
              <w:sym w:font="Wingdings" w:char="F0E0"/>
            </w:r>
            <w:r w:rsidRPr="00A30CEB">
              <w:rPr>
                <w:rFonts w:ascii="Arial" w:hAnsi="Arial" w:cs="Arial"/>
                <w:sz w:val="20"/>
                <w:szCs w:val="20"/>
                <w:highlight w:val="lightGray"/>
              </w:rPr>
              <w:t xml:space="preserve"> accept the null hypothesis</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Hardy Weinberg Equilibrium </w:t>
            </w:r>
          </w:p>
        </w:tc>
        <w:tc>
          <w:tcPr>
            <w:tcW w:w="6131" w:type="dxa"/>
          </w:tcPr>
          <w:p w:rsidR="007A0058" w:rsidRDefault="00A30CEB" w:rsidP="00C24066">
            <w:pPr>
              <w:rPr>
                <w:rFonts w:ascii="Arial" w:hAnsi="Arial" w:cs="Arial"/>
                <w:sz w:val="20"/>
                <w:szCs w:val="20"/>
              </w:rPr>
            </w:pPr>
            <w:r>
              <w:rPr>
                <w:rFonts w:ascii="Arial" w:hAnsi="Arial" w:cs="Arial"/>
                <w:sz w:val="20"/>
                <w:szCs w:val="20"/>
              </w:rPr>
              <w:t xml:space="preserve">-See Unit 1, Notes Packet 4 (first page)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Population Growth </w:t>
            </w:r>
            <w:r>
              <w:rPr>
                <w:rFonts w:ascii="Arial" w:hAnsi="Arial" w:cs="Arial"/>
                <w:sz w:val="20"/>
                <w:szCs w:val="20"/>
              </w:rPr>
              <w:lastRenderedPageBreak/>
              <w:t>Equations</w:t>
            </w:r>
          </w:p>
        </w:tc>
        <w:tc>
          <w:tcPr>
            <w:tcW w:w="6131" w:type="dxa"/>
          </w:tcPr>
          <w:p w:rsidR="007A0058" w:rsidRDefault="00A30CEB" w:rsidP="00C24066">
            <w:pPr>
              <w:rPr>
                <w:rFonts w:ascii="Arial" w:hAnsi="Arial" w:cs="Arial"/>
                <w:sz w:val="20"/>
                <w:szCs w:val="20"/>
              </w:rPr>
            </w:pPr>
            <w:r>
              <w:rPr>
                <w:rFonts w:ascii="Arial" w:hAnsi="Arial" w:cs="Arial"/>
                <w:sz w:val="20"/>
                <w:szCs w:val="20"/>
              </w:rPr>
              <w:lastRenderedPageBreak/>
              <w:t>-</w:t>
            </w:r>
            <w:r w:rsidRPr="00A30CEB">
              <w:rPr>
                <w:rFonts w:ascii="Arial" w:hAnsi="Arial" w:cs="Arial"/>
                <w:sz w:val="20"/>
                <w:szCs w:val="20"/>
                <w:highlight w:val="lightGray"/>
              </w:rPr>
              <w:t>The following terms in the Population Growth Equations are always expressed as whole numbers of organisms</w:t>
            </w:r>
            <w:r>
              <w:rPr>
                <w:rFonts w:ascii="Arial" w:hAnsi="Arial" w:cs="Arial"/>
                <w:sz w:val="20"/>
                <w:szCs w:val="20"/>
              </w:rPr>
              <w:t xml:space="preserve"> – </w:t>
            </w:r>
            <w:proofErr w:type="spellStart"/>
            <w:r w:rsidRPr="00A30CEB">
              <w:rPr>
                <w:rFonts w:ascii="Arial" w:hAnsi="Arial" w:cs="Arial"/>
                <w:sz w:val="20"/>
                <w:szCs w:val="20"/>
                <w:highlight w:val="lightGray"/>
              </w:rPr>
              <w:t>dN</w:t>
            </w:r>
            <w:proofErr w:type="spellEnd"/>
            <w:r w:rsidRPr="00A30CEB">
              <w:rPr>
                <w:rFonts w:ascii="Arial" w:hAnsi="Arial" w:cs="Arial"/>
                <w:sz w:val="20"/>
                <w:szCs w:val="20"/>
                <w:highlight w:val="lightGray"/>
              </w:rPr>
              <w:t xml:space="preserve"> / </w:t>
            </w:r>
            <w:proofErr w:type="spellStart"/>
            <w:r w:rsidRPr="00A30CEB">
              <w:rPr>
                <w:rFonts w:ascii="Arial" w:hAnsi="Arial" w:cs="Arial"/>
                <w:sz w:val="20"/>
                <w:szCs w:val="20"/>
                <w:highlight w:val="lightGray"/>
              </w:rPr>
              <w:t>dt</w:t>
            </w:r>
            <w:proofErr w:type="spellEnd"/>
            <w:r>
              <w:rPr>
                <w:rFonts w:ascii="Arial" w:hAnsi="Arial" w:cs="Arial"/>
                <w:sz w:val="20"/>
                <w:szCs w:val="20"/>
              </w:rPr>
              <w:t xml:space="preserve"> </w:t>
            </w:r>
            <w:r>
              <w:rPr>
                <w:rFonts w:ascii="Arial" w:hAnsi="Arial" w:cs="Arial"/>
                <w:sz w:val="20"/>
                <w:szCs w:val="20"/>
              </w:rPr>
              <w:lastRenderedPageBreak/>
              <w:t xml:space="preserve">(change in the number of organisms over an amount of time, usually a year), </w:t>
            </w:r>
            <w:r w:rsidRPr="00A30CEB">
              <w:rPr>
                <w:rFonts w:ascii="Arial" w:hAnsi="Arial" w:cs="Arial"/>
                <w:sz w:val="20"/>
                <w:szCs w:val="20"/>
                <w:highlight w:val="lightGray"/>
              </w:rPr>
              <w:t>B</w:t>
            </w:r>
            <w:r>
              <w:rPr>
                <w:rFonts w:ascii="Arial" w:hAnsi="Arial" w:cs="Arial"/>
                <w:sz w:val="20"/>
                <w:szCs w:val="20"/>
              </w:rPr>
              <w:t xml:space="preserve"> (the number of organisms born in a year), </w:t>
            </w:r>
            <w:r w:rsidRPr="00A30CEB">
              <w:rPr>
                <w:rFonts w:ascii="Arial" w:hAnsi="Arial" w:cs="Arial"/>
                <w:sz w:val="20"/>
                <w:szCs w:val="20"/>
                <w:highlight w:val="lightGray"/>
              </w:rPr>
              <w:t>D</w:t>
            </w:r>
            <w:r>
              <w:rPr>
                <w:rFonts w:ascii="Arial" w:hAnsi="Arial" w:cs="Arial"/>
                <w:sz w:val="20"/>
                <w:szCs w:val="20"/>
              </w:rPr>
              <w:t xml:space="preserve"> (the number of organisms that die in a year), </w:t>
            </w:r>
            <w:r w:rsidRPr="00A30CEB">
              <w:rPr>
                <w:rFonts w:ascii="Arial" w:hAnsi="Arial" w:cs="Arial"/>
                <w:sz w:val="20"/>
                <w:szCs w:val="20"/>
                <w:highlight w:val="lightGray"/>
              </w:rPr>
              <w:t>N</w:t>
            </w:r>
            <w:r>
              <w:rPr>
                <w:rFonts w:ascii="Arial" w:hAnsi="Arial" w:cs="Arial"/>
                <w:sz w:val="20"/>
                <w:szCs w:val="20"/>
              </w:rPr>
              <w:t xml:space="preserve"> (the initial population size), </w:t>
            </w:r>
            <w:r w:rsidRPr="00A30CEB">
              <w:rPr>
                <w:rFonts w:ascii="Arial" w:hAnsi="Arial" w:cs="Arial"/>
                <w:sz w:val="20"/>
                <w:szCs w:val="20"/>
                <w:highlight w:val="lightGray"/>
              </w:rPr>
              <w:t>K</w:t>
            </w:r>
            <w:r>
              <w:rPr>
                <w:rFonts w:ascii="Arial" w:hAnsi="Arial" w:cs="Arial"/>
                <w:sz w:val="20"/>
                <w:szCs w:val="20"/>
              </w:rPr>
              <w:t xml:space="preserve"> (the carrying capacity) </w:t>
            </w:r>
          </w:p>
          <w:p w:rsidR="00A30CEB" w:rsidRPr="00A30CEB" w:rsidRDefault="00A30CEB" w:rsidP="00C24066">
            <w:pPr>
              <w:rPr>
                <w:rFonts w:ascii="Arial" w:hAnsi="Arial" w:cs="Arial"/>
                <w:sz w:val="20"/>
                <w:szCs w:val="20"/>
              </w:rPr>
            </w:pPr>
            <w:r>
              <w:rPr>
                <w:rFonts w:ascii="Arial" w:hAnsi="Arial" w:cs="Arial"/>
                <w:sz w:val="20"/>
                <w:szCs w:val="20"/>
              </w:rPr>
              <w:t>-</w:t>
            </w:r>
            <w:proofErr w:type="spellStart"/>
            <w:r w:rsidRPr="00A30CEB">
              <w:rPr>
                <w:rFonts w:ascii="Arial" w:hAnsi="Arial" w:cs="Arial"/>
                <w:sz w:val="20"/>
                <w:szCs w:val="20"/>
                <w:highlight w:val="lightGray"/>
              </w:rPr>
              <w:t>r</w:t>
            </w:r>
            <w:r w:rsidRPr="00A30CEB">
              <w:rPr>
                <w:rFonts w:ascii="Arial" w:hAnsi="Arial" w:cs="Arial"/>
                <w:sz w:val="20"/>
                <w:szCs w:val="20"/>
                <w:highlight w:val="lightGray"/>
                <w:vertAlign w:val="subscript"/>
              </w:rPr>
              <w:t>max</w:t>
            </w:r>
            <w:proofErr w:type="spellEnd"/>
            <w:r>
              <w:rPr>
                <w:rFonts w:ascii="Arial" w:hAnsi="Arial" w:cs="Arial"/>
                <w:sz w:val="20"/>
                <w:szCs w:val="20"/>
              </w:rPr>
              <w:t xml:space="preserve"> is the maximum per capita growth rate (i.e. the number of people added to the population PER individual in the initial population), </w:t>
            </w:r>
            <w:r w:rsidRPr="00A30CEB">
              <w:rPr>
                <w:rFonts w:ascii="Arial" w:hAnsi="Arial" w:cs="Arial"/>
                <w:sz w:val="20"/>
                <w:szCs w:val="20"/>
                <w:highlight w:val="lightGray"/>
              </w:rPr>
              <w:t>so it is a decimal value</w:t>
            </w:r>
            <w:r>
              <w:rPr>
                <w:rFonts w:ascii="Arial" w:hAnsi="Arial" w:cs="Arial"/>
                <w:sz w:val="20"/>
                <w:szCs w:val="20"/>
              </w:rPr>
              <w:t xml:space="preserve"> (</w:t>
            </w:r>
            <w:proofErr w:type="spellStart"/>
            <w:r>
              <w:rPr>
                <w:rFonts w:ascii="Arial" w:hAnsi="Arial" w:cs="Arial"/>
                <w:sz w:val="20"/>
                <w:szCs w:val="20"/>
              </w:rPr>
              <w:t>r</w:t>
            </w:r>
            <w:r>
              <w:rPr>
                <w:rFonts w:ascii="Arial" w:hAnsi="Arial" w:cs="Arial"/>
                <w:sz w:val="20"/>
                <w:szCs w:val="20"/>
                <w:vertAlign w:val="subscript"/>
              </w:rPr>
              <w:t>max</w:t>
            </w:r>
            <w:proofErr w:type="spellEnd"/>
            <w:r>
              <w:rPr>
                <w:rFonts w:ascii="Arial" w:hAnsi="Arial" w:cs="Arial"/>
                <w:sz w:val="20"/>
                <w:szCs w:val="20"/>
                <w:vertAlign w:val="subscript"/>
              </w:rPr>
              <w:t xml:space="preserve"> </w:t>
            </w:r>
            <w:r>
              <w:rPr>
                <w:rFonts w:ascii="Arial" w:hAnsi="Arial" w:cs="Arial"/>
                <w:sz w:val="20"/>
                <w:szCs w:val="20"/>
              </w:rPr>
              <w:t xml:space="preserve"> = 1 means that there is one person added to the population per individual in the initial population over a year… so the population would double in size over that year) </w:t>
            </w:r>
          </w:p>
        </w:tc>
      </w:tr>
      <w:tr w:rsidR="007A0058" w:rsidTr="004729DC">
        <w:tc>
          <w:tcPr>
            <w:tcW w:w="1706" w:type="dxa"/>
            <w:vMerge/>
          </w:tcPr>
          <w:p w:rsidR="007A0058" w:rsidRDefault="007A0058" w:rsidP="00197EFC">
            <w:pPr>
              <w:rPr>
                <w:rFonts w:ascii="Arial" w:hAnsi="Arial" w:cs="Arial"/>
                <w:sz w:val="20"/>
                <w:szCs w:val="20"/>
              </w:rPr>
            </w:pPr>
          </w:p>
        </w:tc>
        <w:tc>
          <w:tcPr>
            <w:tcW w:w="1739" w:type="dxa"/>
          </w:tcPr>
          <w:p w:rsidR="007A0058" w:rsidRDefault="007A0058" w:rsidP="00C24066">
            <w:pPr>
              <w:rPr>
                <w:rFonts w:ascii="Arial" w:hAnsi="Arial" w:cs="Arial"/>
                <w:sz w:val="20"/>
                <w:szCs w:val="20"/>
              </w:rPr>
            </w:pPr>
            <w:r>
              <w:rPr>
                <w:rFonts w:ascii="Arial" w:hAnsi="Arial" w:cs="Arial"/>
                <w:sz w:val="20"/>
                <w:szCs w:val="20"/>
              </w:rPr>
              <w:t xml:space="preserve">Water Potential </w:t>
            </w:r>
          </w:p>
        </w:tc>
        <w:tc>
          <w:tcPr>
            <w:tcW w:w="6131" w:type="dxa"/>
          </w:tcPr>
          <w:p w:rsidR="00A30CEB" w:rsidRDefault="00A30CEB" w:rsidP="00C24066">
            <w:pPr>
              <w:rPr>
                <w:rFonts w:ascii="Arial" w:hAnsi="Arial" w:cs="Arial"/>
                <w:sz w:val="20"/>
                <w:szCs w:val="20"/>
              </w:rPr>
            </w:pPr>
            <w:r>
              <w:rPr>
                <w:rFonts w:ascii="Arial" w:hAnsi="Arial" w:cs="Arial"/>
                <w:sz w:val="20"/>
                <w:szCs w:val="20"/>
              </w:rPr>
              <w:t>-</w:t>
            </w:r>
            <w:r w:rsidRPr="00A30CEB">
              <w:rPr>
                <w:rFonts w:ascii="Arial" w:hAnsi="Arial" w:cs="Arial"/>
                <w:sz w:val="20"/>
                <w:szCs w:val="20"/>
                <w:highlight w:val="lightGray"/>
              </w:rPr>
              <w:t>The highest possible value for water potential and solute potential is 0.  This is the water and solute potential for distilled (pure) water, which has no solutes.</w:t>
            </w:r>
            <w:r>
              <w:rPr>
                <w:rFonts w:ascii="Arial" w:hAnsi="Arial" w:cs="Arial"/>
                <w:sz w:val="20"/>
                <w:szCs w:val="20"/>
              </w:rPr>
              <w:t xml:space="preserve">  For solutions of increasing solute concentration, the water and solute potentials become increasingly negative.</w:t>
            </w:r>
          </w:p>
          <w:p w:rsidR="00A30CEB" w:rsidRDefault="00A30CEB" w:rsidP="00C24066">
            <w:pPr>
              <w:rPr>
                <w:rFonts w:ascii="Arial" w:hAnsi="Arial" w:cs="Arial"/>
                <w:sz w:val="20"/>
                <w:szCs w:val="20"/>
              </w:rPr>
            </w:pPr>
            <w:r>
              <w:rPr>
                <w:rFonts w:ascii="Arial" w:hAnsi="Arial" w:cs="Arial"/>
                <w:sz w:val="20"/>
                <w:szCs w:val="20"/>
              </w:rPr>
              <w:t>-</w:t>
            </w:r>
            <w:r w:rsidRPr="00A30CEB">
              <w:rPr>
                <w:rFonts w:ascii="Arial" w:hAnsi="Arial" w:cs="Arial"/>
                <w:sz w:val="20"/>
                <w:szCs w:val="20"/>
                <w:highlight w:val="lightGray"/>
              </w:rPr>
              <w:t>For a solution in an open container, the pressure potential is “0,</w:t>
            </w:r>
            <w:r>
              <w:rPr>
                <w:rFonts w:ascii="Arial" w:hAnsi="Arial" w:cs="Arial"/>
                <w:sz w:val="20"/>
                <w:szCs w:val="20"/>
              </w:rPr>
              <w:t>” so the water potential will equal the solute potential.</w:t>
            </w:r>
          </w:p>
          <w:p w:rsidR="00A30CEB" w:rsidRDefault="00A30CEB" w:rsidP="00C24066">
            <w:pPr>
              <w:rPr>
                <w:rFonts w:ascii="Arial" w:hAnsi="Arial" w:cs="Arial"/>
                <w:sz w:val="20"/>
                <w:szCs w:val="20"/>
              </w:rPr>
            </w:pPr>
            <w:r w:rsidRPr="00A30CEB">
              <w:rPr>
                <w:rFonts w:ascii="Arial" w:hAnsi="Arial" w:cs="Arial"/>
                <w:sz w:val="20"/>
                <w:szCs w:val="20"/>
                <w:highlight w:val="lightGray"/>
              </w:rPr>
              <w:t>-The pressure potential of a solution inside a cell will increase (become more positive from a baseline of “0”) when water moves into the cell and the cell has a cell wall</w:t>
            </w:r>
          </w:p>
          <w:p w:rsidR="00A30CEB" w:rsidRPr="00A30CEB" w:rsidRDefault="00A30CEB" w:rsidP="00C24066">
            <w:pPr>
              <w:rPr>
                <w:rFonts w:ascii="Arial" w:hAnsi="Arial" w:cs="Arial"/>
                <w:sz w:val="20"/>
                <w:szCs w:val="20"/>
              </w:rPr>
            </w:pPr>
            <w:r w:rsidRPr="00A30CEB">
              <w:rPr>
                <w:rFonts w:ascii="Arial" w:hAnsi="Arial" w:cs="Arial"/>
                <w:bCs/>
                <w:iCs/>
                <w:sz w:val="20"/>
                <w:szCs w:val="20"/>
                <w:highlight w:val="lightGray"/>
              </w:rPr>
              <w:t>-When water has moved from one solution to another across a membrane via osmosis so that two solutions are in equilibrium with each other (i.e. they have the same water and solute concentrations), they will have equal water potentials.</w:t>
            </w:r>
            <w:r w:rsidRPr="00A30CEB">
              <w:rPr>
                <w:rFonts w:ascii="Arial" w:hAnsi="Arial" w:cs="Arial"/>
                <w:bCs/>
                <w:iCs/>
                <w:sz w:val="20"/>
                <w:szCs w:val="20"/>
              </w:rPr>
              <w:t xml:space="preserve">  </w:t>
            </w:r>
          </w:p>
          <w:p w:rsidR="00A30CEB" w:rsidRDefault="00A30CEB" w:rsidP="00C24066">
            <w:pPr>
              <w:rPr>
                <w:rFonts w:ascii="Arial" w:hAnsi="Arial" w:cs="Arial"/>
                <w:sz w:val="20"/>
                <w:szCs w:val="20"/>
              </w:rPr>
            </w:pPr>
            <w:r w:rsidRPr="00A30CEB">
              <w:rPr>
                <w:rFonts w:ascii="Arial" w:hAnsi="Arial" w:cs="Arial"/>
                <w:sz w:val="20"/>
                <w:szCs w:val="20"/>
                <w:highlight w:val="lightGray"/>
              </w:rPr>
              <w:t>-Water will always move from a solution with a higher water potential to a solution with a lower water potential</w:t>
            </w:r>
            <w:r>
              <w:rPr>
                <w:rFonts w:ascii="Arial" w:hAnsi="Arial" w:cs="Arial"/>
                <w:sz w:val="20"/>
                <w:szCs w:val="20"/>
              </w:rPr>
              <w:t xml:space="preserve"> </w:t>
            </w:r>
          </w:p>
          <w:p w:rsidR="00A30CEB" w:rsidRDefault="00A30CEB" w:rsidP="00C24066">
            <w:pPr>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in the solute potential equation stands for the ionization constant.  For a solute that does not break apart in water (ex: sucrose or glucose), “</w:t>
            </w:r>
            <w:proofErr w:type="spellStart"/>
            <w:r>
              <w:rPr>
                <w:rFonts w:ascii="Arial" w:hAnsi="Arial" w:cs="Arial"/>
                <w:sz w:val="20"/>
                <w:szCs w:val="20"/>
              </w:rPr>
              <w:t>i</w:t>
            </w:r>
            <w:proofErr w:type="spellEnd"/>
            <w:r>
              <w:rPr>
                <w:rFonts w:ascii="Arial" w:hAnsi="Arial" w:cs="Arial"/>
                <w:sz w:val="20"/>
                <w:szCs w:val="20"/>
              </w:rPr>
              <w:t xml:space="preserve">” is 1.  For a solute that breaks into two parts (ex: </w:t>
            </w:r>
            <w:proofErr w:type="spellStart"/>
            <w:r>
              <w:rPr>
                <w:rFonts w:ascii="Arial" w:hAnsi="Arial" w:cs="Arial"/>
                <w:sz w:val="20"/>
                <w:szCs w:val="20"/>
              </w:rPr>
              <w:t>NaCl</w:t>
            </w:r>
            <w:proofErr w:type="spellEnd"/>
            <w:r>
              <w:rPr>
                <w:rFonts w:ascii="Arial" w:hAnsi="Arial" w:cs="Arial"/>
                <w:sz w:val="20"/>
                <w:szCs w:val="20"/>
              </w:rPr>
              <w:t xml:space="preserve"> breaks into Na+ and Cl-), “</w:t>
            </w:r>
            <w:proofErr w:type="spellStart"/>
            <w:r>
              <w:rPr>
                <w:rFonts w:ascii="Arial" w:hAnsi="Arial" w:cs="Arial"/>
                <w:sz w:val="20"/>
                <w:szCs w:val="20"/>
              </w:rPr>
              <w:t>i</w:t>
            </w:r>
            <w:proofErr w:type="spellEnd"/>
            <w:r>
              <w:rPr>
                <w:rFonts w:ascii="Arial" w:hAnsi="Arial" w:cs="Arial"/>
                <w:sz w:val="20"/>
                <w:szCs w:val="20"/>
              </w:rPr>
              <w:t>" is 2.  For a solute that breaks into three parts, “</w:t>
            </w:r>
            <w:proofErr w:type="spellStart"/>
            <w:r>
              <w:rPr>
                <w:rFonts w:ascii="Arial" w:hAnsi="Arial" w:cs="Arial"/>
                <w:sz w:val="20"/>
                <w:szCs w:val="20"/>
              </w:rPr>
              <w:t>i</w:t>
            </w:r>
            <w:proofErr w:type="spellEnd"/>
            <w:r>
              <w:rPr>
                <w:rFonts w:ascii="Arial" w:hAnsi="Arial" w:cs="Arial"/>
                <w:sz w:val="20"/>
                <w:szCs w:val="20"/>
              </w:rPr>
              <w:t xml:space="preserve">" is 3… and so on, and so forth. </w:t>
            </w:r>
          </w:p>
        </w:tc>
      </w:tr>
    </w:tbl>
    <w:p w:rsidR="00197EFC" w:rsidRDefault="00197EFC" w:rsidP="004729DC">
      <w:pPr>
        <w:spacing w:after="0"/>
        <w:rPr>
          <w:rFonts w:ascii="Arial" w:hAnsi="Arial" w:cs="Arial"/>
          <w:sz w:val="20"/>
          <w:szCs w:val="20"/>
        </w:rPr>
      </w:pPr>
    </w:p>
    <w:p w:rsidR="004729DC" w:rsidRPr="00197EFC" w:rsidRDefault="004729DC" w:rsidP="004729DC">
      <w:pPr>
        <w:spacing w:after="0"/>
        <w:rPr>
          <w:rFonts w:ascii="Arial" w:hAnsi="Arial" w:cs="Arial"/>
          <w:sz w:val="20"/>
          <w:szCs w:val="20"/>
        </w:rPr>
      </w:pPr>
    </w:p>
    <w:sectPr w:rsidR="004729DC" w:rsidRPr="00197EFC" w:rsidSect="00A30CE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EFC"/>
    <w:rsid w:val="00144905"/>
    <w:rsid w:val="00197EFC"/>
    <w:rsid w:val="001C0F78"/>
    <w:rsid w:val="00212D81"/>
    <w:rsid w:val="00290338"/>
    <w:rsid w:val="00362BF5"/>
    <w:rsid w:val="004729DC"/>
    <w:rsid w:val="007374F5"/>
    <w:rsid w:val="007A0058"/>
    <w:rsid w:val="00A110E5"/>
    <w:rsid w:val="00A30CEB"/>
    <w:rsid w:val="00A77BDB"/>
    <w:rsid w:val="00AE2C6D"/>
    <w:rsid w:val="00BD7C6E"/>
    <w:rsid w:val="00BE3947"/>
    <w:rsid w:val="00C24066"/>
    <w:rsid w:val="00DA0215"/>
    <w:rsid w:val="00F07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7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7B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7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7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2182</Words>
  <Characters>12441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Kelley</cp:lastModifiedBy>
  <cp:revision>2</cp:revision>
  <dcterms:created xsi:type="dcterms:W3CDTF">2015-05-06T13:49:00Z</dcterms:created>
  <dcterms:modified xsi:type="dcterms:W3CDTF">2015-05-06T13:49:00Z</dcterms:modified>
</cp:coreProperties>
</file>